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276"/>
      </w:tblGrid>
      <w:tr w:rsidR="00200036" w:rsidRPr="008C2C78" w14:paraId="5B095FF2" w14:textId="77777777" w:rsidTr="00AC761B">
        <w:tc>
          <w:tcPr>
            <w:tcW w:w="14426" w:type="dxa"/>
            <w:shd w:val="clear" w:color="auto" w:fill="FFFF00"/>
          </w:tcPr>
          <w:p w14:paraId="644A033A" w14:textId="57EED2A4" w:rsidR="00745769" w:rsidRPr="00745769" w:rsidRDefault="00745769" w:rsidP="00745769">
            <w:pPr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745769">
              <w:rPr>
                <w:rFonts w:ascii="Arial" w:hAnsi="Arial" w:cs="Arial"/>
                <w:b/>
                <w:szCs w:val="24"/>
              </w:rPr>
              <w:t>Allgemeines S</w:t>
            </w:r>
            <w:r w:rsidR="00AC761B" w:rsidRPr="00745769">
              <w:rPr>
                <w:rFonts w:ascii="Arial" w:hAnsi="Arial" w:cs="Arial"/>
                <w:b/>
                <w:szCs w:val="24"/>
              </w:rPr>
              <w:t xml:space="preserve">eminar </w:t>
            </w:r>
            <w:r w:rsidR="00AC761B" w:rsidRPr="00745769">
              <w:rPr>
                <w:rFonts w:ascii="Arial" w:hAnsi="Arial" w:cs="Arial"/>
                <w:b/>
                <w:szCs w:val="24"/>
              </w:rPr>
              <w:tab/>
            </w:r>
            <w:r w:rsidR="00877BF6" w:rsidRPr="00745769">
              <w:rPr>
                <w:rFonts w:ascii="Arial" w:hAnsi="Arial" w:cs="Arial"/>
                <w:b/>
                <w:szCs w:val="24"/>
              </w:rPr>
              <w:t>Inklusion</w:t>
            </w:r>
            <w:r w:rsidRPr="00745769">
              <w:rPr>
                <w:rFonts w:ascii="Arial" w:hAnsi="Arial" w:cs="Arial"/>
                <w:b/>
                <w:szCs w:val="24"/>
                <w:highlight w:val="yellow"/>
              </w:rPr>
              <w:t xml:space="preserve">. </w:t>
            </w:r>
            <w:r w:rsidRPr="00745769">
              <w:rPr>
                <w:rFonts w:ascii="Arial" w:hAnsi="Arial" w:cs="Arial"/>
                <w:b/>
                <w:szCs w:val="24"/>
                <w:highlight w:val="yellow"/>
                <w:shd w:val="clear" w:color="auto" w:fill="FFFFFF"/>
              </w:rPr>
              <w:t>Miteinander und voneinander lernen</w:t>
            </w:r>
            <w:r>
              <w:rPr>
                <w:rFonts w:ascii="Arial" w:hAnsi="Arial" w:cs="Arial"/>
                <w:b/>
                <w:szCs w:val="24"/>
                <w:highlight w:val="yellow"/>
                <w:shd w:val="clear" w:color="auto" w:fill="FFFFFF"/>
              </w:rPr>
              <w:t xml:space="preserve"> </w:t>
            </w:r>
          </w:p>
          <w:p w14:paraId="4D25D840" w14:textId="066AAEBA" w:rsidR="00200036" w:rsidRPr="00745769" w:rsidRDefault="00200036" w:rsidP="00E253E5">
            <w:pPr>
              <w:rPr>
                <w:rFonts w:ascii="Arial" w:hAnsi="Arial" w:cs="Arial"/>
                <w:b/>
                <w:szCs w:val="24"/>
              </w:rPr>
            </w:pPr>
          </w:p>
          <w:p w14:paraId="45BDC334" w14:textId="1BF66D1F" w:rsidR="00745769" w:rsidRPr="00745769" w:rsidRDefault="00745769" w:rsidP="00E253E5">
            <w:pPr>
              <w:rPr>
                <w:rFonts w:ascii="Arial" w:hAnsi="Arial" w:cs="Arial"/>
                <w:b/>
                <w:szCs w:val="24"/>
              </w:rPr>
            </w:pPr>
          </w:p>
          <w:p w14:paraId="57C4FFD3" w14:textId="77777777" w:rsidR="00745769" w:rsidRPr="00745769" w:rsidRDefault="00745769" w:rsidP="00E253E5">
            <w:pPr>
              <w:rPr>
                <w:rFonts w:ascii="Arial" w:hAnsi="Arial" w:cs="Arial"/>
                <w:b/>
                <w:szCs w:val="24"/>
              </w:rPr>
            </w:pPr>
          </w:p>
          <w:p w14:paraId="3FE5F47A" w14:textId="77777777" w:rsidR="00200036" w:rsidRPr="00745769" w:rsidRDefault="00200036" w:rsidP="00E253E5">
            <w:pPr>
              <w:rPr>
                <w:rFonts w:ascii="Arial" w:hAnsi="Arial" w:cs="Arial"/>
                <w:szCs w:val="24"/>
              </w:rPr>
            </w:pPr>
          </w:p>
          <w:p w14:paraId="0F5676B6" w14:textId="5E24D291" w:rsidR="00745769" w:rsidRPr="00941057" w:rsidRDefault="00AC761B" w:rsidP="00745769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745769">
              <w:rPr>
                <w:rFonts w:ascii="Arial" w:hAnsi="Arial" w:cs="Arial"/>
                <w:b/>
                <w:szCs w:val="24"/>
              </w:rPr>
              <w:t xml:space="preserve">Thema: </w:t>
            </w:r>
            <w:r w:rsidR="00745769" w:rsidRPr="00941057">
              <w:rPr>
                <w:rFonts w:ascii="Arial" w:hAnsi="Arial" w:cs="Arial"/>
                <w:szCs w:val="24"/>
                <w:highlight w:val="yellow"/>
                <w:shd w:val="clear" w:color="auto" w:fill="FFFFFF"/>
              </w:rPr>
              <w:t>Gezielt Lehr- und Lernprozesse interaktiv gestalten und erleben</w:t>
            </w:r>
            <w:r w:rsidR="00941057">
              <w:rPr>
                <w:rFonts w:ascii="Arial" w:hAnsi="Arial" w:cs="Arial"/>
                <w:szCs w:val="24"/>
                <w:highlight w:val="yellow"/>
                <w:shd w:val="clear" w:color="auto" w:fill="FFFFFF"/>
              </w:rPr>
              <w:t>. Die Kraft musisch-rhythmischer Kompetenzen nutzen.</w:t>
            </w:r>
          </w:p>
          <w:p w14:paraId="35505584" w14:textId="0013B6BF" w:rsidR="00877BF6" w:rsidRPr="00745769" w:rsidRDefault="00877BF6" w:rsidP="00877BF6">
            <w:pPr>
              <w:pStyle w:val="Textkrper"/>
              <w:rPr>
                <w:rFonts w:ascii="Arial" w:hAnsi="Arial" w:cs="Arial"/>
                <w:color w:val="000000"/>
              </w:rPr>
            </w:pPr>
          </w:p>
          <w:p w14:paraId="73E0D55E" w14:textId="4643E260" w:rsidR="00200036" w:rsidRPr="00745769" w:rsidRDefault="00200036" w:rsidP="00E253E5">
            <w:pPr>
              <w:rPr>
                <w:rFonts w:ascii="Arial" w:hAnsi="Arial" w:cs="Arial"/>
                <w:b/>
                <w:szCs w:val="24"/>
              </w:rPr>
            </w:pPr>
          </w:p>
          <w:p w14:paraId="13666A51" w14:textId="77777777" w:rsidR="00200036" w:rsidRPr="00745769" w:rsidRDefault="00200036" w:rsidP="00E253E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B29B70" w14:textId="77777777"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100"/>
        <w:gridCol w:w="6176"/>
      </w:tblGrid>
      <w:tr w:rsidR="00200036" w:rsidRPr="008C2C78" w14:paraId="5D29E8F9" w14:textId="77777777" w:rsidTr="00724FEB">
        <w:tc>
          <w:tcPr>
            <w:tcW w:w="8188" w:type="dxa"/>
            <w:shd w:val="clear" w:color="auto" w:fill="FFFF00"/>
          </w:tcPr>
          <w:p w14:paraId="0C01C6F9" w14:textId="77777777" w:rsidR="00200036" w:rsidRPr="00724FEB" w:rsidRDefault="00200036" w:rsidP="00E253E5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Häufigkeit</w:t>
            </w:r>
            <w:r w:rsidR="00AC761B" w:rsidRPr="00724FEB">
              <w:rPr>
                <w:rFonts w:ascii="Arial" w:hAnsi="Arial" w:cs="Arial"/>
                <w:sz w:val="22"/>
              </w:rPr>
              <w:t xml:space="preserve">: </w:t>
            </w:r>
            <w:r w:rsidRPr="00724FEB">
              <w:rPr>
                <w:rFonts w:ascii="Arial" w:hAnsi="Arial" w:cs="Arial"/>
                <w:b/>
                <w:sz w:val="22"/>
              </w:rPr>
              <w:t>halbjährlich wiederkehrend</w:t>
            </w:r>
          </w:p>
        </w:tc>
        <w:tc>
          <w:tcPr>
            <w:tcW w:w="6238" w:type="dxa"/>
            <w:shd w:val="clear" w:color="auto" w:fill="FFFF00"/>
          </w:tcPr>
          <w:p w14:paraId="3B3AE32C" w14:textId="614F571D" w:rsidR="00200036" w:rsidRPr="00724FEB" w:rsidRDefault="00200036" w:rsidP="00E253E5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Relevanz</w:t>
            </w:r>
            <w:r w:rsidR="00AC761B" w:rsidRPr="00724FEB">
              <w:rPr>
                <w:rFonts w:ascii="Arial" w:hAnsi="Arial" w:cs="Arial"/>
                <w:sz w:val="22"/>
              </w:rPr>
              <w:t>:</w:t>
            </w:r>
            <w:r w:rsidRPr="00724FEB">
              <w:rPr>
                <w:rFonts w:ascii="Arial" w:hAnsi="Arial" w:cs="Arial"/>
                <w:sz w:val="22"/>
              </w:rPr>
              <w:t xml:space="preserve"> </w:t>
            </w:r>
            <w:r w:rsidR="00E253E5" w:rsidRPr="00724FEB">
              <w:rPr>
                <w:rFonts w:ascii="Arial" w:hAnsi="Arial" w:cs="Arial"/>
                <w:b/>
                <w:sz w:val="22"/>
              </w:rPr>
              <w:t xml:space="preserve">alle Klassenstufen </w:t>
            </w:r>
          </w:p>
        </w:tc>
      </w:tr>
    </w:tbl>
    <w:p w14:paraId="2BDB7811" w14:textId="77777777"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5"/>
        <w:gridCol w:w="5730"/>
        <w:gridCol w:w="6171"/>
      </w:tblGrid>
      <w:tr w:rsidR="00200036" w:rsidRPr="008C2C78" w14:paraId="4759FA28" w14:textId="77777777" w:rsidTr="67DB1709">
        <w:tc>
          <w:tcPr>
            <w:tcW w:w="2376" w:type="dxa"/>
            <w:shd w:val="clear" w:color="auto" w:fill="FFFF00"/>
          </w:tcPr>
          <w:p w14:paraId="1D99F553" w14:textId="77777777"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14:paraId="36654021" w14:textId="77777777"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14:paraId="6559F6B2" w14:textId="77777777"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14:paraId="59627EDB" w14:textId="77777777" w:rsidTr="67DB1709">
        <w:tc>
          <w:tcPr>
            <w:tcW w:w="2376" w:type="dxa"/>
          </w:tcPr>
          <w:p w14:paraId="37D8BD90" w14:textId="5190F6DF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10ED04B9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6FDAE4A7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3B82C464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22B5158F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1808D1A3" w14:textId="77777777" w:rsidR="00200036" w:rsidRPr="00877BF6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77BF6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255F2705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3795E2BD" w14:textId="6C5E3C99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77BF6">
              <w:rPr>
                <w:rFonts w:ascii="Arial" w:hAnsi="Arial" w:cs="Arial"/>
                <w:b/>
                <w:sz w:val="20"/>
                <w:szCs w:val="20"/>
              </w:rPr>
              <w:t>Innovieren</w:t>
            </w:r>
          </w:p>
          <w:p w14:paraId="0C283BF0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E902067" w14:textId="77777777" w:rsidR="00200036" w:rsidRPr="00D462A8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7A3814C9" w14:textId="77777777" w:rsidR="00200036" w:rsidRPr="00E253E5" w:rsidRDefault="00200036" w:rsidP="00660DC6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E253E5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14:paraId="7F661CBF" w14:textId="77777777" w:rsidR="00941057" w:rsidRPr="00B8680A" w:rsidRDefault="00941057" w:rsidP="00941057">
            <w:pPr>
              <w:pStyle w:val="Listenabsatz"/>
              <w:numPr>
                <w:ilvl w:val="0"/>
                <w:numId w:val="1"/>
              </w:numPr>
              <w:spacing w:after="100" w:afterAutospacing="1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jedes Kind in seiner</w:t>
            </w:r>
            <w:r w:rsidRPr="00B8680A">
              <w:rPr>
                <w:rFonts w:ascii="Arial" w:eastAsia="Times New Roman" w:hAnsi="Arial" w:cs="Arial"/>
                <w:sz w:val="20"/>
                <w:szCs w:val="20"/>
              </w:rPr>
              <w:t xml:space="preserve"> Entwicklung und Eingliederung gezielt unterstützen</w:t>
            </w:r>
          </w:p>
          <w:p w14:paraId="2E1C8EA7" w14:textId="5AABC9DE" w:rsidR="00200036" w:rsidRPr="00B8680A" w:rsidRDefault="00E253E5" w:rsidP="00660DC6">
            <w:pPr>
              <w:pStyle w:val="Listenabsatz"/>
              <w:numPr>
                <w:ilvl w:val="0"/>
                <w:numId w:val="1"/>
              </w:numPr>
              <w:spacing w:after="100" w:afterAutospacing="1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B8680A">
              <w:rPr>
                <w:rFonts w:ascii="Arial" w:hAnsi="Arial" w:cs="Arial"/>
                <w:sz w:val="20"/>
                <w:szCs w:val="20"/>
              </w:rPr>
              <w:t xml:space="preserve">die Bedeutung </w:t>
            </w:r>
            <w:r w:rsidR="0005330C" w:rsidRPr="00B8680A">
              <w:rPr>
                <w:rFonts w:ascii="Arial" w:hAnsi="Arial" w:cs="Arial"/>
                <w:sz w:val="20"/>
                <w:szCs w:val="20"/>
              </w:rPr>
              <w:t xml:space="preserve">und den Nutzen </w:t>
            </w:r>
            <w:r w:rsidR="00E75AB2" w:rsidRPr="00B8680A">
              <w:rPr>
                <w:rFonts w:ascii="Arial" w:hAnsi="Arial" w:cs="Arial"/>
                <w:sz w:val="20"/>
                <w:szCs w:val="20"/>
              </w:rPr>
              <w:t xml:space="preserve">musikalischer Elemente innerhalb des </w:t>
            </w:r>
            <w:r w:rsidR="00941057">
              <w:rPr>
                <w:rFonts w:ascii="Arial" w:hAnsi="Arial" w:cs="Arial"/>
                <w:sz w:val="20"/>
                <w:szCs w:val="20"/>
              </w:rPr>
              <w:t xml:space="preserve">Lehr- und </w:t>
            </w:r>
            <w:r w:rsidR="00E75AB2" w:rsidRPr="00B8680A">
              <w:rPr>
                <w:rFonts w:ascii="Arial" w:hAnsi="Arial" w:cs="Arial"/>
                <w:sz w:val="20"/>
                <w:szCs w:val="20"/>
              </w:rPr>
              <w:t xml:space="preserve">Lernprozesses im gesamten Schulalltag erkennen und verstehen  </w:t>
            </w:r>
          </w:p>
          <w:p w14:paraId="3A75E931" w14:textId="5DC724E5" w:rsidR="00E75AB2" w:rsidRPr="00B8680A" w:rsidRDefault="00E75AB2" w:rsidP="00660DC6">
            <w:pPr>
              <w:pStyle w:val="Listenabsatz"/>
              <w:numPr>
                <w:ilvl w:val="0"/>
                <w:numId w:val="1"/>
              </w:numPr>
              <w:spacing w:after="100" w:afterAutospacing="1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B8680A">
              <w:rPr>
                <w:rFonts w:ascii="Arial" w:eastAsia="Times New Roman" w:hAnsi="Arial" w:cs="Arial"/>
                <w:sz w:val="20"/>
                <w:szCs w:val="20"/>
              </w:rPr>
              <w:t>in seiner pädagogischen Praxis ein inklusives Arbeiten mittels einfacher musikalischer Mittel initiieren</w:t>
            </w:r>
            <w:r w:rsidR="00941057">
              <w:rPr>
                <w:rFonts w:ascii="Arial" w:eastAsia="Times New Roman" w:hAnsi="Arial" w:cs="Arial"/>
                <w:sz w:val="20"/>
                <w:szCs w:val="20"/>
              </w:rPr>
              <w:t xml:space="preserve"> und installieren</w:t>
            </w:r>
          </w:p>
          <w:p w14:paraId="2CC418D5" w14:textId="19A6F7A6" w:rsidR="00B8680A" w:rsidRPr="00B8680A" w:rsidRDefault="00B8680A" w:rsidP="00B8680A">
            <w:pPr>
              <w:pStyle w:val="Listenabsatz"/>
              <w:numPr>
                <w:ilvl w:val="0"/>
                <w:numId w:val="1"/>
              </w:numPr>
              <w:spacing w:after="100" w:afterAutospacing="1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B8680A">
              <w:rPr>
                <w:rFonts w:ascii="Arial" w:eastAsia="Times New Roman" w:hAnsi="Arial" w:cs="Arial"/>
                <w:sz w:val="20"/>
                <w:szCs w:val="20"/>
              </w:rPr>
              <w:t xml:space="preserve">Musik als Medium verstehen, welches keiner Übersetzung bedarf und als Potential, mit dieser Kunst neue Sprachen schneller und leichter erfassen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und erlernen </w:t>
            </w:r>
            <w:r w:rsidRPr="00B8680A">
              <w:rPr>
                <w:rFonts w:ascii="Arial" w:eastAsia="Times New Roman" w:hAnsi="Arial" w:cs="Arial"/>
                <w:sz w:val="20"/>
                <w:szCs w:val="20"/>
              </w:rPr>
              <w:t xml:space="preserve">zu können </w:t>
            </w:r>
          </w:p>
          <w:p w14:paraId="15DFE3CE" w14:textId="55D681F0" w:rsidR="00B8680A" w:rsidRPr="00B8680A" w:rsidRDefault="00B8680A" w:rsidP="00E75AB2">
            <w:pPr>
              <w:pStyle w:val="Listenabsatz"/>
              <w:numPr>
                <w:ilvl w:val="0"/>
                <w:numId w:val="1"/>
              </w:numPr>
              <w:spacing w:after="100" w:afterAutospacing="1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B8680A">
              <w:rPr>
                <w:rFonts w:ascii="Arial" w:eastAsia="Times New Roman" w:hAnsi="Arial" w:cs="Arial"/>
                <w:sz w:val="20"/>
                <w:szCs w:val="20"/>
              </w:rPr>
              <w:t>Musik als Mittel der Verständigung, des gemeinsamen 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lebens und sozialer T</w:t>
            </w:r>
            <w:r w:rsidRPr="00B8680A">
              <w:rPr>
                <w:rFonts w:ascii="Arial" w:eastAsia="Times New Roman" w:hAnsi="Arial" w:cs="Arial"/>
                <w:sz w:val="20"/>
                <w:szCs w:val="20"/>
              </w:rPr>
              <w:t>eilhabe verstehen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gezielt einsetzen</w:t>
            </w:r>
          </w:p>
          <w:p w14:paraId="2AFCBE3F" w14:textId="47A8DCEC" w:rsidR="00B8680A" w:rsidRPr="00724FEB" w:rsidRDefault="00B8680A" w:rsidP="00B8680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14:paraId="5BAE61EE" w14:textId="77777777" w:rsidR="00200036" w:rsidRDefault="00200036" w:rsidP="00660DC6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14:paraId="147B5740" w14:textId="27D9061B" w:rsidR="00E75AB2" w:rsidRPr="00E75AB2" w:rsidRDefault="00E75AB2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 xml:space="preserve">Inklusive Potentiale der </w:t>
            </w:r>
            <w:r w:rsidR="00941057">
              <w:rPr>
                <w:rFonts w:ascii="Arial" w:hAnsi="Arial" w:cs="Arial"/>
                <w:color w:val="000000"/>
                <w:sz w:val="20"/>
                <w:szCs w:val="20"/>
              </w:rPr>
              <w:t xml:space="preserve">allgemeinen Pädagogik und </w:t>
            </w: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>Musikpädagogik</w:t>
            </w:r>
          </w:p>
          <w:p w14:paraId="5ACEFA8E" w14:textId="1A749E0B" w:rsidR="00E75AB2" w:rsidRPr="00E75AB2" w:rsidRDefault="00E75AB2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 xml:space="preserve">Gemeinsames und gleichberechtigtes </w:t>
            </w:r>
            <w:r w:rsidR="00941057">
              <w:rPr>
                <w:rFonts w:ascii="Arial" w:hAnsi="Arial" w:cs="Arial"/>
                <w:color w:val="000000"/>
                <w:sz w:val="20"/>
                <w:szCs w:val="20"/>
              </w:rPr>
              <w:t>Lernen</w:t>
            </w: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 xml:space="preserve"> aller gleich welcher körperlichen und geistigen Fähigkeiten, Nationen oder Sprachen, sozialen Herkunft sowie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welchen </w:t>
            </w: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>musikalischen Könnens ((vgl. Amberg/Augst 2013)</w:t>
            </w:r>
          </w:p>
          <w:p w14:paraId="516EFE4A" w14:textId="77777777" w:rsidR="00E75AB2" w:rsidRPr="00E75AB2" w:rsidRDefault="00E75AB2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>Erprobung ausgewählter musikpraktischer Hör-, Musizier- und Gestaltungssituationen, in welchen jedes Kind entsprechend seiner individuellen Fähigkeiten und Fertigkeiten gefördert wird</w:t>
            </w:r>
          </w:p>
          <w:p w14:paraId="2A1E3B85" w14:textId="6D713812" w:rsidR="00E75AB2" w:rsidRPr="00E75AB2" w:rsidRDefault="00941057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Kennenlernen</w:t>
            </w:r>
            <w:r w:rsidR="00E75AB2" w:rsidRPr="00E75AB2">
              <w:rPr>
                <w:rFonts w:ascii="Arial" w:hAnsi="Arial" w:cs="Arial"/>
                <w:sz w:val="20"/>
                <w:szCs w:val="20"/>
              </w:rPr>
              <w:t xml:space="preserve"> wesentlicher </w:t>
            </w:r>
            <w:r>
              <w:rPr>
                <w:rFonts w:ascii="Arial" w:hAnsi="Arial" w:cs="Arial"/>
                <w:sz w:val="20"/>
                <w:szCs w:val="20"/>
              </w:rPr>
              <w:t>Grund</w:t>
            </w:r>
            <w:r w:rsidR="00E75AB2" w:rsidRPr="00E75AB2">
              <w:rPr>
                <w:rFonts w:ascii="Arial" w:hAnsi="Arial" w:cs="Arial"/>
                <w:sz w:val="20"/>
                <w:szCs w:val="20"/>
              </w:rPr>
              <w:t>kenntnisse, Praxiskompetenzen und persönlicher Kompetenzen zur Bewältigung der Herausforderung inklusiven Arbeitens</w:t>
            </w:r>
          </w:p>
          <w:p w14:paraId="64DE209A" w14:textId="77777777" w:rsidR="00E75AB2" w:rsidRPr="00E75AB2" w:rsidRDefault="00E75AB2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t>Reflexion über das Erlebte unter Einbindung didaktisch – methodischer Schlussfolgerungen für die Gestaltung inklusiver Bildungsprozesse</w:t>
            </w:r>
          </w:p>
          <w:p w14:paraId="38959222" w14:textId="77777777" w:rsidR="00E75AB2" w:rsidRPr="00E75AB2" w:rsidRDefault="00E75AB2" w:rsidP="00E75AB2">
            <w:pPr>
              <w:pStyle w:val="Textkrper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A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Erfahrungsaustausch über die Umsetzung der Inhalte an der Ausbildungsschule</w:t>
            </w:r>
          </w:p>
          <w:p w14:paraId="3D1B3F91" w14:textId="31D005CD" w:rsidR="00724FEB" w:rsidRPr="00E253E5" w:rsidRDefault="00724FEB" w:rsidP="00E75AB2">
            <w:pPr>
              <w:pStyle w:val="Listenabsatz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8C2C78" w14:paraId="19E6F17D" w14:textId="77777777" w:rsidTr="67DB1709">
        <w:trPr>
          <w:trHeight w:val="983"/>
        </w:trPr>
        <w:tc>
          <w:tcPr>
            <w:tcW w:w="2376" w:type="dxa"/>
            <w:shd w:val="clear" w:color="auto" w:fill="FFFF00"/>
          </w:tcPr>
          <w:p w14:paraId="222C5397" w14:textId="2D735CBF" w:rsidR="00200036" w:rsidRPr="00724FEB" w:rsidRDefault="004F20B9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lastRenderedPageBreak/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14:paraId="349A2E17" w14:textId="289AF317" w:rsidR="00660DC6" w:rsidRPr="00E75AB2" w:rsidRDefault="00660DC6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>Setzen Sie sich mit der angegebenen Literatur auseinander und verschaffen Sie sich einen Überblick über grundlegende Aussagen zu Individualisierung, Ausgleich von Bildungsbenachteiligten sowie überfachliche musikalische Kompetenzen.</w:t>
            </w:r>
            <w:r w:rsidR="00E75AB2" w:rsidRPr="00E75AB2">
              <w:rPr>
                <w:rFonts w:ascii="Arial" w:hAnsi="Arial" w:cs="Arial"/>
                <w:sz w:val="20"/>
                <w:szCs w:val="20"/>
              </w:rPr>
              <w:t xml:space="preserve"> Notieren Sie Fragen zum Thema und bringen Sie diese mit.</w:t>
            </w:r>
          </w:p>
        </w:tc>
      </w:tr>
      <w:tr w:rsidR="00724FEB" w:rsidRPr="008C2C78" w14:paraId="23624954" w14:textId="77777777" w:rsidTr="67DB1709">
        <w:trPr>
          <w:trHeight w:val="1137"/>
        </w:trPr>
        <w:tc>
          <w:tcPr>
            <w:tcW w:w="2376" w:type="dxa"/>
            <w:shd w:val="clear" w:color="auto" w:fill="auto"/>
          </w:tcPr>
          <w:p w14:paraId="61F3C356" w14:textId="30A8F403" w:rsidR="00724FEB" w:rsidRPr="00724FEB" w:rsidRDefault="00724FEB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  <w:shd w:val="clear" w:color="auto" w:fill="auto"/>
          </w:tcPr>
          <w:p w14:paraId="744E2712" w14:textId="5E568327" w:rsidR="00724FEB" w:rsidRPr="00E75AB2" w:rsidRDefault="67DB1709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 xml:space="preserve">Thüringer Schulgesetz </w:t>
            </w:r>
            <w:r w:rsidR="00877BF6" w:rsidRPr="00E75AB2">
              <w:rPr>
                <w:rFonts w:ascii="Arial" w:hAnsi="Arial" w:cs="Arial"/>
                <w:sz w:val="20"/>
                <w:szCs w:val="20"/>
              </w:rPr>
              <w:t>§§ 1, 2, 17</w:t>
            </w:r>
          </w:p>
          <w:p w14:paraId="35122653" w14:textId="145517D8" w:rsidR="00877BF6" w:rsidRPr="00E75AB2" w:rsidRDefault="00877BF6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>Thüringer Schulordnung</w:t>
            </w:r>
            <w:r w:rsidR="00660DC6" w:rsidRPr="00E75AB2">
              <w:rPr>
                <w:rFonts w:ascii="Arial" w:hAnsi="Arial" w:cs="Arial"/>
                <w:sz w:val="20"/>
                <w:szCs w:val="20"/>
              </w:rPr>
              <w:t xml:space="preserve"> § 3, § 44 Abs. 2</w:t>
            </w:r>
          </w:p>
          <w:p w14:paraId="597F9479" w14:textId="0E6FD6E1" w:rsidR="00660DC6" w:rsidRPr="00E75AB2" w:rsidRDefault="00660DC6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>Thüringer Bildungsplan bis 18 Jahre</w:t>
            </w:r>
          </w:p>
          <w:p w14:paraId="51EFAFAA" w14:textId="77777777" w:rsidR="00724FEB" w:rsidRPr="00E75AB2" w:rsidRDefault="00660DC6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>Leitgedanken zu den Thüringer Lehrplänen für die Grundschule und für die Förderschule mit dem Bildungsgang der Grundschule</w:t>
            </w:r>
          </w:p>
          <w:p w14:paraId="6C685601" w14:textId="788247EE" w:rsidR="00681B55" w:rsidRPr="00E75AB2" w:rsidRDefault="00660DC6" w:rsidP="00660DC6">
            <w:pPr>
              <w:rPr>
                <w:rFonts w:ascii="Arial" w:hAnsi="Arial" w:cs="Arial"/>
                <w:sz w:val="20"/>
                <w:szCs w:val="20"/>
              </w:rPr>
            </w:pPr>
            <w:r w:rsidRPr="00E75AB2">
              <w:rPr>
                <w:rFonts w:ascii="Arial" w:hAnsi="Arial" w:cs="Arial"/>
                <w:sz w:val="20"/>
                <w:szCs w:val="20"/>
              </w:rPr>
              <w:t>Thüringer Lehrpläne für die Grundschule</w:t>
            </w:r>
            <w:bookmarkStart w:id="0" w:name="_GoBack"/>
            <w:bookmarkEnd w:id="0"/>
          </w:p>
          <w:p w14:paraId="5F999E7F" w14:textId="32B8A6CB" w:rsidR="00681B55" w:rsidRPr="00E75AB2" w:rsidRDefault="00681B55" w:rsidP="00941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B06AD" w14:textId="04073EC6" w:rsidR="00200036" w:rsidRDefault="00200036"/>
    <w:sectPr w:rsidR="00200036" w:rsidSect="008C2C78">
      <w:head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A56A" w14:textId="77777777" w:rsidR="004B5684" w:rsidRDefault="004B5684" w:rsidP="00724FEB">
      <w:pPr>
        <w:spacing w:line="240" w:lineRule="auto"/>
      </w:pPr>
      <w:r>
        <w:separator/>
      </w:r>
    </w:p>
  </w:endnote>
  <w:endnote w:type="continuationSeparator" w:id="0">
    <w:p w14:paraId="6A573F61" w14:textId="77777777" w:rsidR="004B5684" w:rsidRDefault="004B5684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7D6B" w14:textId="77777777" w:rsidR="004B5684" w:rsidRDefault="004B5684" w:rsidP="00724FEB">
      <w:pPr>
        <w:spacing w:line="240" w:lineRule="auto"/>
      </w:pPr>
      <w:r>
        <w:separator/>
      </w:r>
    </w:p>
  </w:footnote>
  <w:footnote w:type="continuationSeparator" w:id="0">
    <w:p w14:paraId="21CC2E71" w14:textId="77777777" w:rsidR="004B5684" w:rsidRDefault="004B5684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23C2" w14:textId="31A53356" w:rsidR="00BD3BF9" w:rsidRDefault="00BD3BF9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75AB2">
      <w:t>Innovieren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DF2"/>
    <w:multiLevelType w:val="hybridMultilevel"/>
    <w:tmpl w:val="649E8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1EF9"/>
    <w:multiLevelType w:val="hybridMultilevel"/>
    <w:tmpl w:val="01B85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78"/>
    <w:rsid w:val="0005330C"/>
    <w:rsid w:val="00186346"/>
    <w:rsid w:val="00200036"/>
    <w:rsid w:val="002840FB"/>
    <w:rsid w:val="0032493E"/>
    <w:rsid w:val="00415E96"/>
    <w:rsid w:val="004B5684"/>
    <w:rsid w:val="004C6D47"/>
    <w:rsid w:val="004F20B9"/>
    <w:rsid w:val="0055661C"/>
    <w:rsid w:val="005C0294"/>
    <w:rsid w:val="00660DC6"/>
    <w:rsid w:val="00681B55"/>
    <w:rsid w:val="006B2E92"/>
    <w:rsid w:val="00724FEB"/>
    <w:rsid w:val="00745769"/>
    <w:rsid w:val="00790850"/>
    <w:rsid w:val="00877BF6"/>
    <w:rsid w:val="008C2C78"/>
    <w:rsid w:val="00941057"/>
    <w:rsid w:val="00AC761B"/>
    <w:rsid w:val="00B24AA6"/>
    <w:rsid w:val="00B8680A"/>
    <w:rsid w:val="00BB74FC"/>
    <w:rsid w:val="00BD3BF9"/>
    <w:rsid w:val="00C43A16"/>
    <w:rsid w:val="00C6219D"/>
    <w:rsid w:val="00D462A8"/>
    <w:rsid w:val="00E253E5"/>
    <w:rsid w:val="00E75AB2"/>
    <w:rsid w:val="00EE13EF"/>
    <w:rsid w:val="00F16D2A"/>
    <w:rsid w:val="67D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23795D"/>
  <w15:docId w15:val="{186168C3-9449-4CE2-8E81-E624E31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  <w:style w:type="paragraph" w:styleId="Textkrper">
    <w:name w:val="Body Text"/>
    <w:basedOn w:val="Standard"/>
    <w:link w:val="TextkrperZchn"/>
    <w:rsid w:val="00877BF6"/>
    <w:pPr>
      <w:suppressAutoHyphens/>
      <w:spacing w:after="12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877BF6"/>
    <w:rPr>
      <w:rFonts w:ascii="Times New Roman" w:eastAsia="Times New Roman" w:hAnsi="Times New Roman" w:cs="Times New Roman"/>
      <w:szCs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681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StS Auerbach, Kathrin</cp:lastModifiedBy>
  <cp:revision>3</cp:revision>
  <dcterms:created xsi:type="dcterms:W3CDTF">2020-02-27T11:02:00Z</dcterms:created>
  <dcterms:modified xsi:type="dcterms:W3CDTF">2020-02-27T11:09:00Z</dcterms:modified>
</cp:coreProperties>
</file>