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AC761B">
        <w:tc>
          <w:tcPr>
            <w:tcW w:w="14426" w:type="dxa"/>
            <w:shd w:val="clear" w:color="auto" w:fill="FFFF00"/>
          </w:tcPr>
          <w:p w:rsidR="00200036" w:rsidRPr="00200036" w:rsidRDefault="006A31D6" w:rsidP="00E253E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</w:t>
            </w:r>
            <w:r w:rsidR="00AC761B">
              <w:rPr>
                <w:rFonts w:ascii="Arial" w:hAnsi="Arial" w:cs="Arial"/>
                <w:b/>
              </w:rPr>
              <w:t xml:space="preserve">flichtseminar </w:t>
            </w:r>
            <w:r w:rsidR="00AC761B">
              <w:rPr>
                <w:rFonts w:ascii="Arial" w:hAnsi="Arial" w:cs="Arial"/>
                <w:b/>
              </w:rPr>
              <w:tab/>
              <w:t>Allgemeines Seminar</w:t>
            </w:r>
          </w:p>
          <w:p w:rsidR="00200036" w:rsidRPr="008C2C78" w:rsidRDefault="00200036" w:rsidP="00E253E5">
            <w:pPr>
              <w:rPr>
                <w:rFonts w:ascii="Arial" w:hAnsi="Arial" w:cs="Arial"/>
              </w:rPr>
            </w:pPr>
          </w:p>
          <w:p w:rsidR="00200036" w:rsidRPr="008C2C78" w:rsidRDefault="00AC761B" w:rsidP="00633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Thema: </w:t>
            </w:r>
            <w:r w:rsidR="006A31D6">
              <w:rPr>
                <w:rFonts w:ascii="Arial" w:hAnsi="Arial" w:cs="Arial"/>
                <w:b/>
              </w:rPr>
              <w:t>„Prüfungsvorbereitung“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188"/>
        <w:gridCol w:w="6238"/>
      </w:tblGrid>
      <w:tr w:rsidR="00200036" w:rsidRPr="008C2C78" w:rsidTr="00724FEB">
        <w:tc>
          <w:tcPr>
            <w:tcW w:w="8188" w:type="dxa"/>
            <w:shd w:val="clear" w:color="auto" w:fill="FFFF00"/>
          </w:tcPr>
          <w:p w:rsidR="00200036" w:rsidRPr="00724FEB" w:rsidRDefault="00200036" w:rsidP="00633556">
            <w:pPr>
              <w:rPr>
                <w:rFonts w:ascii="Arial" w:hAnsi="Arial" w:cs="Arial"/>
                <w:sz w:val="22"/>
              </w:rPr>
            </w:pPr>
            <w:r w:rsidRPr="00724FEB">
              <w:rPr>
                <w:rFonts w:ascii="Arial" w:hAnsi="Arial" w:cs="Arial"/>
                <w:sz w:val="22"/>
              </w:rPr>
              <w:t>Häufigkeit</w:t>
            </w:r>
            <w:r w:rsidR="00AC761B" w:rsidRPr="00724FEB">
              <w:rPr>
                <w:rFonts w:ascii="Arial" w:hAnsi="Arial" w:cs="Arial"/>
                <w:sz w:val="22"/>
              </w:rPr>
              <w:t xml:space="preserve">: </w:t>
            </w:r>
            <w:r w:rsidR="006A31D6">
              <w:rPr>
                <w:rFonts w:ascii="Arial" w:hAnsi="Arial" w:cs="Arial"/>
                <w:sz w:val="22"/>
              </w:rPr>
              <w:t>einmalig</w:t>
            </w:r>
          </w:p>
        </w:tc>
        <w:tc>
          <w:tcPr>
            <w:tcW w:w="6238" w:type="dxa"/>
            <w:shd w:val="clear" w:color="auto" w:fill="FFFF00"/>
          </w:tcPr>
          <w:p w:rsidR="006A31D6" w:rsidRDefault="00200036" w:rsidP="006A31D6">
            <w:pPr>
              <w:rPr>
                <w:rFonts w:ascii="Arial" w:hAnsi="Arial" w:cs="Arial"/>
                <w:sz w:val="22"/>
              </w:rPr>
            </w:pPr>
            <w:r w:rsidRPr="00724FEB">
              <w:rPr>
                <w:rFonts w:ascii="Arial" w:hAnsi="Arial" w:cs="Arial"/>
                <w:sz w:val="22"/>
              </w:rPr>
              <w:t>Relevanz</w:t>
            </w:r>
            <w:r w:rsidR="00AC761B" w:rsidRPr="00724FEB">
              <w:rPr>
                <w:rFonts w:ascii="Arial" w:hAnsi="Arial" w:cs="Arial"/>
                <w:sz w:val="22"/>
              </w:rPr>
              <w:t>:</w:t>
            </w:r>
            <w:r w:rsidRPr="00724FEB">
              <w:rPr>
                <w:rFonts w:ascii="Arial" w:hAnsi="Arial" w:cs="Arial"/>
                <w:sz w:val="22"/>
              </w:rPr>
              <w:t xml:space="preserve"> </w:t>
            </w:r>
            <w:r w:rsidR="006A31D6">
              <w:rPr>
                <w:rFonts w:ascii="Arial" w:hAnsi="Arial" w:cs="Arial"/>
                <w:sz w:val="22"/>
              </w:rPr>
              <w:t xml:space="preserve">Grundsätze der Zweiten Staatsprüfung im  </w:t>
            </w:r>
          </w:p>
          <w:p w:rsidR="00200036" w:rsidRPr="00724FEB" w:rsidRDefault="006A31D6" w:rsidP="006A31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Thüringer Vorbereitungsdienst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6238"/>
      </w:tblGrid>
      <w:tr w:rsidR="00200036" w:rsidRPr="008C2C78" w:rsidTr="00724FEB">
        <w:tc>
          <w:tcPr>
            <w:tcW w:w="2376" w:type="dxa"/>
            <w:shd w:val="clear" w:color="auto" w:fill="FFFF00"/>
          </w:tcPr>
          <w:p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FFFF00"/>
          </w:tcPr>
          <w:p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FFFF00"/>
          </w:tcPr>
          <w:p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6A31D6" w:rsidRPr="008C2C78" w:rsidTr="00724FEB">
        <w:tc>
          <w:tcPr>
            <w:tcW w:w="2376" w:type="dxa"/>
          </w:tcPr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8E5C31" w:rsidRDefault="006A31D6" w:rsidP="00E25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C31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6A31D6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6A31D6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D462A8" w:rsidRDefault="006A31D6" w:rsidP="00E253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6A31D6" w:rsidRPr="00D462A8" w:rsidRDefault="006A31D6" w:rsidP="003E520C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E253E5" w:rsidRDefault="006A31D6" w:rsidP="003E52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3E5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:rsidR="006A31D6" w:rsidRDefault="006A31D6" w:rsidP="003E520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 entsprechend der gesetzlichen Grundlagen auf die praktische Prüfung vorbereiten</w:t>
            </w:r>
          </w:p>
          <w:p w:rsidR="006A31D6" w:rsidRDefault="006A31D6" w:rsidP="003E520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25A18">
              <w:rPr>
                <w:rFonts w:ascii="Arial" w:hAnsi="Arial" w:cs="Arial"/>
                <w:sz w:val="20"/>
                <w:szCs w:val="20"/>
              </w:rPr>
              <w:t>sich entsprechend seiner Lernvoraussetzungen und den Bedingungen an der Ausbi</w:t>
            </w:r>
            <w:r w:rsidR="008E5C31">
              <w:rPr>
                <w:rFonts w:ascii="Arial" w:hAnsi="Arial" w:cs="Arial"/>
                <w:sz w:val="20"/>
                <w:szCs w:val="20"/>
              </w:rPr>
              <w:t xml:space="preserve">ldungsschule eine komplexe, individuelle </w:t>
            </w:r>
            <w:r w:rsidRPr="00D25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C31">
              <w:rPr>
                <w:rFonts w:ascii="Arial" w:hAnsi="Arial" w:cs="Arial"/>
                <w:sz w:val="20"/>
                <w:szCs w:val="20"/>
              </w:rPr>
              <w:t>Handlungssituation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3D0E">
              <w:rPr>
                <w:rFonts w:ascii="Arial" w:hAnsi="Arial" w:cs="Arial"/>
                <w:sz w:val="20"/>
                <w:szCs w:val="20"/>
              </w:rPr>
              <w:t xml:space="preserve">für die mündliche Prüfung </w:t>
            </w:r>
            <w:r>
              <w:rPr>
                <w:rFonts w:ascii="Arial" w:hAnsi="Arial" w:cs="Arial"/>
                <w:sz w:val="20"/>
                <w:szCs w:val="20"/>
              </w:rPr>
              <w:t>wählen</w:t>
            </w:r>
            <w:r w:rsidR="008E5C31">
              <w:rPr>
                <w:rFonts w:ascii="Arial" w:hAnsi="Arial" w:cs="Arial"/>
                <w:sz w:val="20"/>
                <w:szCs w:val="20"/>
              </w:rPr>
              <w:t>, in deren Rahmen er theoriegeleitet auf der Grundlage fachlicher, bildungswissenschaftlicher, rechtlicher und kommunikationswissenschaftlicher Kenntnisse die Qualität seines pädagogischen Handelns reflektiert</w:t>
            </w:r>
          </w:p>
          <w:p w:rsidR="006A31D6" w:rsidRPr="00D25A18" w:rsidRDefault="006A31D6" w:rsidP="003E520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zeitlichen Ablauf, den notwendigen Schriftverkehr und</w:t>
            </w:r>
            <w:r w:rsidR="008E5C31">
              <w:rPr>
                <w:rFonts w:ascii="Arial" w:hAnsi="Arial" w:cs="Arial"/>
                <w:sz w:val="20"/>
                <w:szCs w:val="20"/>
              </w:rPr>
              <w:t xml:space="preserve"> die Rahmenbedingungen der Zweiten Staatsprüfung </w:t>
            </w:r>
            <w:r w:rsidR="00096E3C">
              <w:rPr>
                <w:rFonts w:ascii="Arial" w:hAnsi="Arial" w:cs="Arial"/>
                <w:sz w:val="20"/>
                <w:szCs w:val="20"/>
              </w:rPr>
              <w:t>nachvollziehen</w:t>
            </w:r>
          </w:p>
          <w:p w:rsidR="006A31D6" w:rsidRPr="00EC37F2" w:rsidRDefault="006A31D6" w:rsidP="003E520C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3E7563" w:rsidRDefault="006A31D6" w:rsidP="00096E3C">
            <w:pPr>
              <w:ind w:left="1800"/>
              <w:rPr>
                <w:rFonts w:ascii="Arial" w:eastAsia="Times New Roman" w:hAnsi="Arial" w:cs="Arial"/>
                <w:i/>
                <w:szCs w:val="24"/>
                <w:lang w:eastAsia="de-DE"/>
              </w:rPr>
            </w:pPr>
            <w:r w:rsidRPr="00FA1E2D">
              <w:rPr>
                <w:rFonts w:ascii="Arial" w:eastAsia="Times New Roman" w:hAnsi="Arial" w:cs="Arial"/>
                <w:i/>
                <w:szCs w:val="24"/>
                <w:lang w:eastAsia="de-DE"/>
              </w:rPr>
              <w:t xml:space="preserve"> </w:t>
            </w:r>
          </w:p>
        </w:tc>
        <w:tc>
          <w:tcPr>
            <w:tcW w:w="6238" w:type="dxa"/>
          </w:tcPr>
          <w:p w:rsidR="006A31D6" w:rsidRDefault="006A31D6" w:rsidP="003E520C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1D6" w:rsidRPr="00565E27" w:rsidRDefault="006A3D0E" w:rsidP="003E520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Informationen zum Inhalt und zur</w:t>
            </w:r>
            <w:r w:rsidR="006A31D6" w:rsidRPr="00565E27">
              <w:rPr>
                <w:rFonts w:ascii="Arial" w:hAnsi="Arial" w:cs="Arial"/>
                <w:sz w:val="20"/>
                <w:szCs w:val="20"/>
              </w:rPr>
              <w:t xml:space="preserve"> Organisation der </w:t>
            </w:r>
            <w:r w:rsidR="00096E3C">
              <w:rPr>
                <w:rFonts w:ascii="Arial" w:hAnsi="Arial" w:cs="Arial"/>
                <w:sz w:val="20"/>
                <w:szCs w:val="20"/>
              </w:rPr>
              <w:t>praktischen und mündlichen Prüfung</w:t>
            </w:r>
          </w:p>
          <w:p w:rsidR="006A31D6" w:rsidRPr="00565E27" w:rsidRDefault="006A31D6" w:rsidP="003E520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6A31D6" w:rsidRPr="00565E27" w:rsidRDefault="006A31D6" w:rsidP="003E520C">
            <w:pPr>
              <w:rPr>
                <w:rFonts w:ascii="Arial" w:hAnsi="Arial" w:cs="Arial"/>
                <w:sz w:val="20"/>
                <w:szCs w:val="20"/>
              </w:rPr>
            </w:pPr>
            <w:r w:rsidRPr="00565E27">
              <w:rPr>
                <w:rFonts w:ascii="Arial" w:hAnsi="Arial" w:cs="Arial"/>
                <w:sz w:val="20"/>
                <w:szCs w:val="20"/>
              </w:rPr>
              <w:t xml:space="preserve">Grundlagen: </w:t>
            </w:r>
          </w:p>
          <w:p w:rsidR="006A31D6" w:rsidRPr="00565E27" w:rsidRDefault="006A31D6" w:rsidP="003E520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65E27">
              <w:rPr>
                <w:rFonts w:ascii="Arial" w:hAnsi="Arial" w:cs="Arial"/>
                <w:sz w:val="20"/>
                <w:szCs w:val="20"/>
              </w:rPr>
              <w:t>Thüringer Verordnung über die Ausbildung und Zweite Staatsprüfung für die Lehrämter in der jeweils gültigen Fassung</w:t>
            </w:r>
          </w:p>
          <w:p w:rsidR="006A31D6" w:rsidRPr="00565E27" w:rsidRDefault="006A31D6" w:rsidP="003E520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65E27">
              <w:rPr>
                <w:rFonts w:ascii="Arial" w:hAnsi="Arial" w:cs="Arial"/>
                <w:sz w:val="20"/>
                <w:szCs w:val="20"/>
              </w:rPr>
              <w:t>Thüringer Lehrerbildungsgesetz in der jeweils gültigen Fassung</w:t>
            </w:r>
          </w:p>
          <w:p w:rsidR="006A31D6" w:rsidRPr="00565E27" w:rsidRDefault="006A31D6" w:rsidP="003E520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65E27">
              <w:rPr>
                <w:rFonts w:ascii="Arial" w:hAnsi="Arial" w:cs="Arial"/>
                <w:sz w:val="20"/>
                <w:szCs w:val="20"/>
              </w:rPr>
              <w:t>Hinweise für Lehrämter …: Ausbildung und Zweite Staatsprüfung der Lehramtsanwärter im Thüringer Vorbereitungsdienst in der jeweils gültigen Fassung</w:t>
            </w:r>
          </w:p>
          <w:p w:rsidR="006A31D6" w:rsidRPr="00565E27" w:rsidRDefault="006A31D6" w:rsidP="003E520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65E27">
              <w:rPr>
                <w:rFonts w:ascii="Arial" w:hAnsi="Arial" w:cs="Arial"/>
                <w:sz w:val="20"/>
                <w:szCs w:val="20"/>
              </w:rPr>
              <w:t>Nutzungshinweise zu den Standardisierten Leistungsbildern im Rahmen der Zweiten Staatsprüfung für die Lehrämter in der jeweils gültigen Fassung</w:t>
            </w:r>
          </w:p>
          <w:p w:rsidR="006A31D6" w:rsidRPr="00565E27" w:rsidRDefault="006A3D0E" w:rsidP="003E520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Handlungsfelder</w:t>
            </w:r>
          </w:p>
          <w:p w:rsidR="006A31D6" w:rsidRPr="003E7563" w:rsidRDefault="006A31D6" w:rsidP="003E520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565E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00036" w:rsidRPr="008C2C78" w:rsidTr="00724FEB">
        <w:trPr>
          <w:trHeight w:val="983"/>
        </w:trPr>
        <w:tc>
          <w:tcPr>
            <w:tcW w:w="2376" w:type="dxa"/>
            <w:shd w:val="clear" w:color="auto" w:fill="FFFF00"/>
          </w:tcPr>
          <w:p w:rsidR="00200036" w:rsidRPr="00724FEB" w:rsidRDefault="004F20B9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724FEB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:rsidR="008E5C31" w:rsidRPr="00096E3C" w:rsidRDefault="008E5C31" w:rsidP="008E5C31">
            <w:pPr>
              <w:rPr>
                <w:sz w:val="20"/>
                <w:szCs w:val="20"/>
              </w:rPr>
            </w:pPr>
            <w:r w:rsidRPr="00096E3C">
              <w:rPr>
                <w:sz w:val="20"/>
                <w:szCs w:val="20"/>
              </w:rPr>
              <w:t xml:space="preserve">Bringen Sie diese Unterlagen bitte </w:t>
            </w:r>
            <w:r w:rsidRPr="00096E3C">
              <w:rPr>
                <w:b/>
                <w:bCs/>
                <w:color w:val="FF0000"/>
                <w:sz w:val="20"/>
                <w:szCs w:val="20"/>
              </w:rPr>
              <w:t>in ausgedruckter Form</w:t>
            </w:r>
            <w:r w:rsidR="00096E3C" w:rsidRPr="00096E3C">
              <w:rPr>
                <w:sz w:val="20"/>
                <w:szCs w:val="20"/>
              </w:rPr>
              <w:t xml:space="preserve"> in der für Ihren Ausbildungsgang gültigen Fassung</w:t>
            </w:r>
            <w:r w:rsidRPr="00096E3C">
              <w:rPr>
                <w:sz w:val="20"/>
                <w:szCs w:val="20"/>
              </w:rPr>
              <w:t xml:space="preserve"> mit!</w:t>
            </w:r>
          </w:p>
          <w:p w:rsidR="008E5C31" w:rsidRPr="00096E3C" w:rsidRDefault="008E5C31" w:rsidP="008E5C31">
            <w:pPr>
              <w:rPr>
                <w:sz w:val="20"/>
                <w:szCs w:val="20"/>
              </w:rPr>
            </w:pPr>
          </w:p>
          <w:p w:rsidR="00096E3C" w:rsidRPr="00096E3C" w:rsidRDefault="004D41DD" w:rsidP="008E5C31">
            <w:pPr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  <w:hyperlink r:id="rId8" w:history="1">
              <w:r w:rsidR="008E5C31" w:rsidRPr="00096E3C">
                <w:rPr>
                  <w:rStyle w:val="Hyperlink"/>
                  <w:rFonts w:eastAsia="Times New Roman"/>
                  <w:b/>
                  <w:bCs/>
                  <w:color w:val="auto"/>
                  <w:sz w:val="20"/>
                  <w:szCs w:val="20"/>
                </w:rPr>
                <w:t>Thüringer Verordnung über die Ausbildung und Zweite Staatsprüfung für die Lehrämter (ThürAZStPLVO)</w:t>
              </w:r>
            </w:hyperlink>
          </w:p>
          <w:p w:rsidR="00096E3C" w:rsidRPr="00096E3C" w:rsidRDefault="00096E3C" w:rsidP="00096E3C">
            <w:pPr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  <w:r w:rsidRPr="00096E3C">
              <w:rPr>
                <w:rFonts w:eastAsia="Times New Roman"/>
                <w:b/>
                <w:bCs/>
                <w:sz w:val="20"/>
                <w:szCs w:val="20"/>
              </w:rPr>
              <w:t xml:space="preserve">Standardisierte Leistungsbilder </w:t>
            </w:r>
            <w:r w:rsidRPr="00096E3C">
              <w:rPr>
                <w:rFonts w:eastAsia="Times New Roman"/>
                <w:bCs/>
                <w:sz w:val="20"/>
                <w:szCs w:val="20"/>
              </w:rPr>
              <w:t>der praktischen und mündlichen Staatsprüfung</w:t>
            </w:r>
          </w:p>
          <w:p w:rsidR="008E5C31" w:rsidRPr="00096E3C" w:rsidRDefault="008E5C31" w:rsidP="008E5C31">
            <w:pPr>
              <w:numPr>
                <w:ilvl w:val="0"/>
                <w:numId w:val="7"/>
              </w:numPr>
              <w:rPr>
                <w:rFonts w:eastAsia="Times New Roman"/>
                <w:sz w:val="20"/>
                <w:szCs w:val="20"/>
              </w:rPr>
            </w:pPr>
            <w:r w:rsidRPr="00096E3C">
              <w:rPr>
                <w:rFonts w:eastAsia="Times New Roman"/>
                <w:b/>
                <w:bCs/>
                <w:sz w:val="20"/>
                <w:szCs w:val="20"/>
              </w:rPr>
              <w:t>Nutzungshinweise</w:t>
            </w:r>
            <w:r w:rsidRPr="00096E3C">
              <w:rPr>
                <w:rFonts w:eastAsia="Times New Roman"/>
                <w:sz w:val="20"/>
                <w:szCs w:val="20"/>
              </w:rPr>
              <w:t xml:space="preserve"> zu den standardisierten Leistungsbildern im Rahmen der Zweiten Staatsprüfung für die Lehramtsanwärter (Stand: 18. Mai 2015) – auszudrucken unter „Standardisierte Leistungsbilder“: </w:t>
            </w:r>
            <w:hyperlink r:id="rId9" w:history="1">
              <w:r w:rsidRPr="00096E3C">
                <w:rPr>
                  <w:rStyle w:val="Hyperlink"/>
                  <w:rFonts w:eastAsia="Times New Roman"/>
                  <w:sz w:val="20"/>
                  <w:szCs w:val="20"/>
                </w:rPr>
                <w:t>http://www.thueringen.de/th2/tmbjs/bildung/lehrer/lehrerbildung/landespruefungsamt/index.aspx</w:t>
              </w:r>
            </w:hyperlink>
          </w:p>
          <w:p w:rsidR="00096E3C" w:rsidRPr="00096E3C" w:rsidRDefault="008E5C31" w:rsidP="008E5C31">
            <w:pPr>
              <w:numPr>
                <w:ilvl w:val="0"/>
                <w:numId w:val="7"/>
              </w:numPr>
              <w:rPr>
                <w:rFonts w:eastAsia="Times New Roman"/>
                <w:b/>
                <w:bCs/>
                <w:sz w:val="20"/>
                <w:szCs w:val="20"/>
              </w:rPr>
            </w:pPr>
            <w:r w:rsidRPr="00096E3C">
              <w:rPr>
                <w:rFonts w:eastAsia="Times New Roman"/>
                <w:b/>
                <w:bCs/>
                <w:sz w:val="20"/>
                <w:szCs w:val="20"/>
              </w:rPr>
              <w:t>Hinweise 2. Staatsprüfung</w:t>
            </w:r>
            <w:r w:rsidRPr="00096E3C">
              <w:rPr>
                <w:rFonts w:eastAsia="Times New Roman"/>
                <w:sz w:val="20"/>
                <w:szCs w:val="20"/>
              </w:rPr>
              <w:t xml:space="preserve"> für Lehramtsanwärter sowie für an Lehrerbildung Beteiligt</w:t>
            </w:r>
            <w:r w:rsidR="00096E3C" w:rsidRPr="00096E3C">
              <w:rPr>
                <w:rFonts w:eastAsia="Times New Roman"/>
                <w:sz w:val="20"/>
                <w:szCs w:val="20"/>
              </w:rPr>
              <w:t>e in Thüringen</w:t>
            </w:r>
          </w:p>
          <w:p w:rsidR="008E5C31" w:rsidRPr="00096E3C" w:rsidRDefault="008E5C31" w:rsidP="008E5C31">
            <w:pPr>
              <w:numPr>
                <w:ilvl w:val="0"/>
                <w:numId w:val="7"/>
              </w:numPr>
              <w:rPr>
                <w:rFonts w:eastAsia="Times New Roman"/>
                <w:b/>
                <w:bCs/>
                <w:sz w:val="20"/>
                <w:szCs w:val="20"/>
              </w:rPr>
            </w:pPr>
            <w:r w:rsidRPr="00096E3C">
              <w:rPr>
                <w:rFonts w:eastAsia="Times New Roman"/>
                <w:b/>
                <w:bCs/>
                <w:sz w:val="20"/>
                <w:szCs w:val="20"/>
              </w:rPr>
              <w:t xml:space="preserve">Handlungsfelder </w:t>
            </w:r>
          </w:p>
          <w:p w:rsidR="00200036" w:rsidRPr="00633556" w:rsidRDefault="00200036" w:rsidP="008E5C3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FEB" w:rsidRPr="008C2C78" w:rsidTr="00724FEB">
        <w:trPr>
          <w:trHeight w:val="1137"/>
        </w:trPr>
        <w:tc>
          <w:tcPr>
            <w:tcW w:w="2376" w:type="dxa"/>
            <w:shd w:val="clear" w:color="auto" w:fill="auto"/>
          </w:tcPr>
          <w:p w:rsidR="00724FEB" w:rsidRPr="00724FEB" w:rsidRDefault="00724FEB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724FEB">
              <w:rPr>
                <w:rFonts w:ascii="Arial" w:hAnsi="Arial" w:cs="Arial"/>
                <w:sz w:val="20"/>
                <w:szCs w:val="20"/>
              </w:rPr>
              <w:lastRenderedPageBreak/>
              <w:t>Literaturliste</w:t>
            </w:r>
          </w:p>
        </w:tc>
        <w:tc>
          <w:tcPr>
            <w:tcW w:w="12050" w:type="dxa"/>
            <w:gridSpan w:val="2"/>
            <w:shd w:val="clear" w:color="auto" w:fill="auto"/>
          </w:tcPr>
          <w:p w:rsidR="00724FEB" w:rsidRPr="00724FEB" w:rsidRDefault="00096E3C" w:rsidP="008E5C3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siehe gesetzliche Grundlagen</w:t>
            </w:r>
          </w:p>
        </w:tc>
      </w:tr>
    </w:tbl>
    <w:p w:rsidR="00200036" w:rsidRDefault="00200036"/>
    <w:sectPr w:rsidR="00200036" w:rsidSect="008C2C78">
      <w:headerReference w:type="default" r:id="rId10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30" w:rsidRDefault="00A32730" w:rsidP="00724FEB">
      <w:pPr>
        <w:spacing w:line="240" w:lineRule="auto"/>
      </w:pPr>
      <w:r>
        <w:separator/>
      </w:r>
    </w:p>
  </w:endnote>
  <w:endnote w:type="continuationSeparator" w:id="0">
    <w:p w:rsidR="00A32730" w:rsidRDefault="00A32730" w:rsidP="0072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30" w:rsidRDefault="00A32730" w:rsidP="00724FEB">
      <w:pPr>
        <w:spacing w:line="240" w:lineRule="auto"/>
      </w:pPr>
      <w:r>
        <w:separator/>
      </w:r>
    </w:p>
  </w:footnote>
  <w:footnote w:type="continuationSeparator" w:id="0">
    <w:p w:rsidR="00A32730" w:rsidRDefault="00A32730" w:rsidP="0072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EB" w:rsidRDefault="00724FEB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021B2">
      <w:t>Unterrichten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1B6"/>
    <w:multiLevelType w:val="hybridMultilevel"/>
    <w:tmpl w:val="262A6A30"/>
    <w:lvl w:ilvl="0" w:tplc="0407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49B7"/>
    <w:multiLevelType w:val="hybridMultilevel"/>
    <w:tmpl w:val="5DF0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60A2"/>
    <w:multiLevelType w:val="hybridMultilevel"/>
    <w:tmpl w:val="CDA6D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157B6"/>
    <w:multiLevelType w:val="hybridMultilevel"/>
    <w:tmpl w:val="33F4A4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A62BDA"/>
    <w:multiLevelType w:val="hybridMultilevel"/>
    <w:tmpl w:val="F7DA0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0621F"/>
    <w:multiLevelType w:val="hybridMultilevel"/>
    <w:tmpl w:val="960C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5330C"/>
    <w:rsid w:val="00096E3C"/>
    <w:rsid w:val="00127F19"/>
    <w:rsid w:val="00186346"/>
    <w:rsid w:val="00200036"/>
    <w:rsid w:val="0032493E"/>
    <w:rsid w:val="004C6D47"/>
    <w:rsid w:val="004D41DD"/>
    <w:rsid w:val="004F20B9"/>
    <w:rsid w:val="005C0294"/>
    <w:rsid w:val="006021B2"/>
    <w:rsid w:val="00633556"/>
    <w:rsid w:val="006A31D6"/>
    <w:rsid w:val="006A3D0E"/>
    <w:rsid w:val="006B2E92"/>
    <w:rsid w:val="00724FEB"/>
    <w:rsid w:val="00790850"/>
    <w:rsid w:val="008C2C78"/>
    <w:rsid w:val="008E5C31"/>
    <w:rsid w:val="00966E01"/>
    <w:rsid w:val="00A32730"/>
    <w:rsid w:val="00A50246"/>
    <w:rsid w:val="00AC761B"/>
    <w:rsid w:val="00B24AA6"/>
    <w:rsid w:val="00BB74FC"/>
    <w:rsid w:val="00D462A8"/>
    <w:rsid w:val="00E253E5"/>
    <w:rsid w:val="00EE13EF"/>
    <w:rsid w:val="00F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EB"/>
  </w:style>
  <w:style w:type="paragraph" w:styleId="Fuzeile">
    <w:name w:val="footer"/>
    <w:basedOn w:val="Standard"/>
    <w:link w:val="Fu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EB"/>
  </w:style>
  <w:style w:type="character" w:styleId="Hyperlink">
    <w:name w:val="Hyperlink"/>
    <w:basedOn w:val="Absatz-Standardschriftart"/>
    <w:uiPriority w:val="99"/>
    <w:semiHidden/>
    <w:unhideWhenUsed/>
    <w:rsid w:val="008E5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EB"/>
  </w:style>
  <w:style w:type="paragraph" w:styleId="Fuzeile">
    <w:name w:val="footer"/>
    <w:basedOn w:val="Standard"/>
    <w:link w:val="Fu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EB"/>
  </w:style>
  <w:style w:type="character" w:styleId="Hyperlink">
    <w:name w:val="Hyperlink"/>
    <w:basedOn w:val="Absatz-Standardschriftart"/>
    <w:uiPriority w:val="99"/>
    <w:semiHidden/>
    <w:unhideWhenUsed/>
    <w:rsid w:val="008E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desrecht.thueringen.de/jportal/?quelle=jlink&amp;query=Lehr2AstPrV+TH+Erster+Abschnitt&amp;psml=bsthueprod.psml&amp;max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ueringen.de/th2/tmbjs/bildung/lehrer/lehrerbildung/landespruefungsamt/index.asp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Studienseminar - Erfurt - Martin, Petra</cp:lastModifiedBy>
  <cp:revision>2</cp:revision>
  <dcterms:created xsi:type="dcterms:W3CDTF">2017-02-22T10:03:00Z</dcterms:created>
  <dcterms:modified xsi:type="dcterms:W3CDTF">2017-02-22T10:03:00Z</dcterms:modified>
</cp:coreProperties>
</file>