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96" w:rsidRPr="00782F96" w:rsidRDefault="00782F96" w:rsidP="00782F96">
      <w:pPr>
        <w:spacing w:line="240" w:lineRule="auto"/>
        <w:jc w:val="center"/>
        <w:rPr>
          <w:rFonts w:ascii="Arial" w:hAnsi="Arial" w:cs="Arial"/>
          <w:b/>
          <w:sz w:val="28"/>
          <w:szCs w:val="28"/>
          <w:bdr w:val="single" w:sz="4" w:space="0" w:color="auto"/>
        </w:rPr>
      </w:pPr>
      <w:r w:rsidRPr="00782F96">
        <w:rPr>
          <w:rFonts w:ascii="Arial" w:hAnsi="Arial" w:cs="Arial"/>
          <w:b/>
          <w:sz w:val="28"/>
          <w:szCs w:val="28"/>
          <w:bdr w:val="single" w:sz="4" w:space="0" w:color="auto"/>
        </w:rPr>
        <w:t>Lernen am anderen Ort</w:t>
      </w:r>
    </w:p>
    <w:p w:rsidR="00782F96" w:rsidRPr="00782F96" w:rsidRDefault="00782F96" w:rsidP="00782F96">
      <w:pPr>
        <w:spacing w:line="240" w:lineRule="auto"/>
        <w:rPr>
          <w:rFonts w:ascii="Arial" w:hAnsi="Arial" w:cs="Arial"/>
          <w:sz w:val="20"/>
          <w:szCs w:val="20"/>
        </w:rPr>
      </w:pPr>
      <w:r w:rsidRPr="00782F96">
        <w:rPr>
          <w:rFonts w:ascii="Arial" w:hAnsi="Arial" w:cs="Arial"/>
          <w:b/>
          <w:sz w:val="24"/>
          <w:szCs w:val="24"/>
        </w:rPr>
        <w:t>Zum Begriff „Lernort“</w:t>
      </w:r>
      <w:r w:rsidRPr="00782F96">
        <w:rPr>
          <w:rFonts w:ascii="Arial" w:hAnsi="Arial" w:cs="Arial"/>
          <w:sz w:val="24"/>
          <w:szCs w:val="24"/>
        </w:rPr>
        <w:t xml:space="preserve"> </w:t>
      </w:r>
      <w:r w:rsidRPr="00782F96">
        <w:rPr>
          <w:rFonts w:ascii="Arial" w:hAnsi="Arial" w:cs="Arial"/>
          <w:sz w:val="20"/>
          <w:szCs w:val="20"/>
        </w:rPr>
        <w:t xml:space="preserve">nach </w:t>
      </w:r>
      <w:proofErr w:type="spellStart"/>
      <w:r w:rsidRPr="00782F96">
        <w:rPr>
          <w:rFonts w:ascii="Arial" w:hAnsi="Arial" w:cs="Arial"/>
          <w:sz w:val="20"/>
          <w:szCs w:val="20"/>
        </w:rPr>
        <w:t>Dühlmeier</w:t>
      </w:r>
      <w:proofErr w:type="spellEnd"/>
      <w:r w:rsidRPr="00782F96">
        <w:rPr>
          <w:rFonts w:ascii="Arial" w:hAnsi="Arial" w:cs="Arial"/>
          <w:sz w:val="20"/>
          <w:szCs w:val="20"/>
        </w:rPr>
        <w:t xml:space="preserve"> und Salzmann</w:t>
      </w:r>
    </w:p>
    <w:p w:rsidR="00782F96" w:rsidRPr="00782F96" w:rsidRDefault="00782F96" w:rsidP="00782F96">
      <w:pPr>
        <w:pStyle w:val="Listenabsatz"/>
        <w:numPr>
          <w:ilvl w:val="0"/>
          <w:numId w:val="1"/>
        </w:numPr>
        <w:spacing w:line="240" w:lineRule="auto"/>
        <w:rPr>
          <w:rFonts w:ascii="Arial" w:hAnsi="Arial" w:cs="Arial"/>
          <w:sz w:val="24"/>
          <w:szCs w:val="24"/>
        </w:rPr>
      </w:pPr>
      <w:r w:rsidRPr="00782F96">
        <w:rPr>
          <w:rFonts w:ascii="Arial" w:hAnsi="Arial" w:cs="Arial"/>
          <w:sz w:val="24"/>
          <w:szCs w:val="24"/>
        </w:rPr>
        <w:t>können in primäre und sekundäre Lernorte unterteilt werden</w:t>
      </w:r>
    </w:p>
    <w:p w:rsidR="00782F96" w:rsidRPr="00782F96" w:rsidRDefault="00782F96" w:rsidP="00782F96">
      <w:pPr>
        <w:pStyle w:val="Listenabsatz"/>
        <w:numPr>
          <w:ilvl w:val="0"/>
          <w:numId w:val="1"/>
        </w:numPr>
        <w:spacing w:line="240" w:lineRule="auto"/>
        <w:rPr>
          <w:rFonts w:ascii="Arial" w:hAnsi="Arial" w:cs="Arial"/>
          <w:sz w:val="24"/>
          <w:szCs w:val="24"/>
        </w:rPr>
      </w:pPr>
      <w:r w:rsidRPr="00782F96">
        <w:rPr>
          <w:rFonts w:ascii="Arial" w:hAnsi="Arial" w:cs="Arial"/>
          <w:sz w:val="24"/>
          <w:szCs w:val="24"/>
        </w:rPr>
        <w:t>primäre Lernorte sind Einrichtungen, die dem Lernen dienen (Schulen, Universitäten)</w:t>
      </w:r>
    </w:p>
    <w:p w:rsidR="00782F96" w:rsidRPr="00782F96" w:rsidRDefault="00782F96" w:rsidP="00782F96">
      <w:pPr>
        <w:pStyle w:val="Listenabsatz"/>
        <w:numPr>
          <w:ilvl w:val="0"/>
          <w:numId w:val="1"/>
        </w:numPr>
        <w:spacing w:line="240" w:lineRule="auto"/>
        <w:rPr>
          <w:rFonts w:ascii="Arial" w:hAnsi="Arial" w:cs="Arial"/>
          <w:sz w:val="24"/>
          <w:szCs w:val="24"/>
        </w:rPr>
      </w:pPr>
      <w:r w:rsidRPr="00782F96">
        <w:rPr>
          <w:rFonts w:ascii="Arial" w:hAnsi="Arial" w:cs="Arial"/>
          <w:sz w:val="24"/>
          <w:szCs w:val="24"/>
        </w:rPr>
        <w:t xml:space="preserve">sekundäre Lernorte sind Einrichtungen, die erst durch unterrichtlichen Einbezug zu Lernorten werden </w:t>
      </w:r>
    </w:p>
    <w:p w:rsidR="00782F96" w:rsidRPr="00782F96" w:rsidRDefault="00782F96" w:rsidP="00782F96">
      <w:pPr>
        <w:pStyle w:val="Listenabsatz"/>
        <w:numPr>
          <w:ilvl w:val="0"/>
          <w:numId w:val="1"/>
        </w:numPr>
        <w:spacing w:line="240" w:lineRule="auto"/>
        <w:rPr>
          <w:rFonts w:ascii="Arial" w:hAnsi="Arial" w:cs="Arial"/>
          <w:sz w:val="24"/>
          <w:szCs w:val="24"/>
        </w:rPr>
      </w:pPr>
      <w:r w:rsidRPr="00782F96">
        <w:rPr>
          <w:rFonts w:ascii="Arial" w:hAnsi="Arial" w:cs="Arial"/>
          <w:sz w:val="24"/>
          <w:szCs w:val="24"/>
        </w:rPr>
        <w:t>Salzmann spricht von Lernstandorten. Diese sind Lernorte, die durch zielgerichtete pädagogisch- didaktische Bemühungen aufgearbeitet werden und Lernenden auf Dauer zur Verfügung stehen (Museumsräume, Schulmuseen, Zooschulen und Kindertheater)</w:t>
      </w:r>
    </w:p>
    <w:p w:rsidR="00782F96" w:rsidRPr="00782F96" w:rsidRDefault="00782F96" w:rsidP="00782F96">
      <w:pPr>
        <w:pStyle w:val="Listenabsatz"/>
        <w:spacing w:line="240" w:lineRule="auto"/>
        <w:rPr>
          <w:rFonts w:ascii="Arial" w:hAnsi="Arial" w:cs="Arial"/>
          <w:sz w:val="24"/>
          <w:szCs w:val="24"/>
        </w:rPr>
      </w:pPr>
    </w:p>
    <w:p w:rsidR="00782F96" w:rsidRPr="00782F96" w:rsidRDefault="00782F96" w:rsidP="00782F96">
      <w:pPr>
        <w:spacing w:line="240" w:lineRule="auto"/>
        <w:rPr>
          <w:rFonts w:ascii="Arial" w:hAnsi="Arial" w:cs="Arial"/>
          <w:b/>
          <w:sz w:val="24"/>
          <w:szCs w:val="24"/>
        </w:rPr>
      </w:pPr>
      <w:r w:rsidRPr="00782F96">
        <w:rPr>
          <w:rFonts w:ascii="Arial" w:hAnsi="Arial" w:cs="Arial"/>
          <w:b/>
          <w:sz w:val="24"/>
          <w:szCs w:val="24"/>
        </w:rPr>
        <w:t>Zum Begriff „außerschulischer Lernort“</w:t>
      </w:r>
    </w:p>
    <w:p w:rsidR="00782F96" w:rsidRPr="00782F96" w:rsidRDefault="00782F96" w:rsidP="00782F96">
      <w:pPr>
        <w:spacing w:line="240" w:lineRule="auto"/>
        <w:rPr>
          <w:rFonts w:ascii="Arial" w:hAnsi="Arial" w:cs="Arial"/>
          <w:sz w:val="20"/>
          <w:szCs w:val="20"/>
        </w:rPr>
      </w:pPr>
      <w:proofErr w:type="spellStart"/>
      <w:r w:rsidRPr="00782F96">
        <w:rPr>
          <w:rFonts w:ascii="Arial" w:hAnsi="Arial" w:cs="Arial"/>
          <w:sz w:val="24"/>
          <w:szCs w:val="24"/>
        </w:rPr>
        <w:t>Somrei</w:t>
      </w:r>
      <w:proofErr w:type="spellEnd"/>
      <w:r w:rsidRPr="00782F96">
        <w:rPr>
          <w:rFonts w:ascii="Arial" w:hAnsi="Arial" w:cs="Arial"/>
          <w:sz w:val="24"/>
          <w:szCs w:val="24"/>
        </w:rPr>
        <w:t xml:space="preserve"> charakterisiert den Begriff folgendermaßen: Außerschulische Lernorte sind „alle Orte außerhalb des Klassenzimmers bzw. Schulgeländes, die Lernprozesse bei Kindern anregen, ergänzen oder abrunden können“ </w:t>
      </w:r>
      <w:r w:rsidRPr="00782F96">
        <w:rPr>
          <w:rFonts w:ascii="Arial" w:hAnsi="Arial" w:cs="Arial"/>
          <w:sz w:val="20"/>
          <w:szCs w:val="20"/>
        </w:rPr>
        <w:t>(</w:t>
      </w:r>
      <w:proofErr w:type="spellStart"/>
      <w:r w:rsidRPr="00782F96">
        <w:rPr>
          <w:rFonts w:ascii="Arial" w:hAnsi="Arial" w:cs="Arial"/>
          <w:sz w:val="20"/>
          <w:szCs w:val="20"/>
        </w:rPr>
        <w:t>Somrei</w:t>
      </w:r>
      <w:proofErr w:type="spellEnd"/>
      <w:r w:rsidRPr="00782F96">
        <w:rPr>
          <w:rFonts w:ascii="Arial" w:hAnsi="Arial" w:cs="Arial"/>
          <w:sz w:val="20"/>
          <w:szCs w:val="20"/>
        </w:rPr>
        <w:t xml:space="preserve"> 1997)</w:t>
      </w:r>
    </w:p>
    <w:p w:rsidR="00782F96" w:rsidRPr="00782F96" w:rsidRDefault="00782F96" w:rsidP="00782F96">
      <w:pPr>
        <w:spacing w:line="240" w:lineRule="auto"/>
        <w:rPr>
          <w:rFonts w:ascii="Arial" w:hAnsi="Arial" w:cs="Arial"/>
          <w:sz w:val="20"/>
          <w:szCs w:val="20"/>
        </w:rPr>
      </w:pPr>
      <w:r w:rsidRPr="00782F96">
        <w:rPr>
          <w:rFonts w:ascii="Arial" w:hAnsi="Arial" w:cs="Arial"/>
          <w:sz w:val="24"/>
          <w:szCs w:val="24"/>
        </w:rPr>
        <w:t xml:space="preserve">„Prinzipiell kann …jeder Ort zu einem außerschulischen Lernort werden – die Wiese, der Handwerksbetrieb, die Post, die Baustelle auf der Straße </w:t>
      </w:r>
      <w:r w:rsidRPr="00782F96">
        <w:rPr>
          <w:rFonts w:ascii="Arial" w:hAnsi="Arial" w:cs="Arial"/>
          <w:sz w:val="20"/>
          <w:szCs w:val="20"/>
        </w:rPr>
        <w:t>(</w:t>
      </w:r>
      <w:proofErr w:type="spellStart"/>
      <w:r w:rsidRPr="00782F96">
        <w:rPr>
          <w:rFonts w:ascii="Arial" w:hAnsi="Arial" w:cs="Arial"/>
          <w:sz w:val="20"/>
          <w:szCs w:val="20"/>
        </w:rPr>
        <w:t>Dühlmeier</w:t>
      </w:r>
      <w:proofErr w:type="spellEnd"/>
      <w:r w:rsidRPr="00782F96">
        <w:rPr>
          <w:rFonts w:ascii="Arial" w:hAnsi="Arial" w:cs="Arial"/>
          <w:sz w:val="20"/>
          <w:szCs w:val="20"/>
        </w:rPr>
        <w:t xml:space="preserve"> 2008)</w:t>
      </w:r>
    </w:p>
    <w:p w:rsidR="00782F96" w:rsidRPr="00782F96" w:rsidRDefault="00782F96" w:rsidP="00782F96">
      <w:pPr>
        <w:spacing w:after="0" w:line="240" w:lineRule="auto"/>
        <w:rPr>
          <w:rFonts w:ascii="Arial" w:hAnsi="Arial" w:cs="Arial"/>
          <w:sz w:val="24"/>
          <w:szCs w:val="24"/>
        </w:rPr>
      </w:pPr>
      <w:r w:rsidRPr="00782F96">
        <w:rPr>
          <w:rFonts w:ascii="Arial" w:eastAsia="Times New Roman" w:hAnsi="Arial" w:cs="Arial"/>
          <w:sz w:val="24"/>
          <w:szCs w:val="24"/>
          <w:lang w:eastAsia="de-DE"/>
        </w:rPr>
        <w:t>Außerschulische Lernorte stellen eine natürliche, nicht nach pädagogisch-didaktisch-methodischen Gesichtspunkten zugerichtete Lernumwelt dar und stehen damit im Gegensatz zur zubereiteten Lernumwelt im Klassenzimmer.</w:t>
      </w:r>
    </w:p>
    <w:p w:rsidR="00782F96" w:rsidRPr="00782F96" w:rsidRDefault="00782F96" w:rsidP="00782F96">
      <w:pPr>
        <w:spacing w:after="0" w:line="240" w:lineRule="auto"/>
        <w:rPr>
          <w:rFonts w:ascii="Arial" w:eastAsia="Times New Roman" w:hAnsi="Arial" w:cs="Arial"/>
          <w:sz w:val="20"/>
          <w:szCs w:val="20"/>
          <w:lang w:eastAsia="de-DE"/>
        </w:rPr>
      </w:pPr>
      <w:r w:rsidRPr="00782F96">
        <w:rPr>
          <w:rFonts w:ascii="Arial" w:eastAsia="Times New Roman" w:hAnsi="Arial" w:cs="Arial"/>
          <w:sz w:val="24"/>
          <w:szCs w:val="24"/>
          <w:lang w:eastAsia="de-DE"/>
        </w:rPr>
        <w:t xml:space="preserve">Es sind Orte außerhalb des unmittelbaren Schulbereichs, die dem Grundsatz der originalen Begegnung Rechnung tragen und Lernprozesse bei Schülern anbahnen, weiterführen oder ergänzen. Erleben, Erfahren und Handeln sind dabei die für den Aufbau von Welt- und Wirklichkeitsverständnis fundamentalen Aneignungsformen. Anforderungen an außerschulische Lernorte sind Authentizität, Überschaubarkeit, Prägnanz, Anmutungscharakter, Strukturiertheit, Ermöglichen von Aktivitäten. </w:t>
      </w:r>
      <w:r w:rsidRPr="00782F96">
        <w:rPr>
          <w:rFonts w:ascii="Arial" w:eastAsia="Times New Roman" w:hAnsi="Arial" w:cs="Arial"/>
          <w:sz w:val="20"/>
          <w:szCs w:val="20"/>
          <w:lang w:eastAsia="de-DE"/>
        </w:rPr>
        <w:t>(GS Sachunterricht 2008)</w:t>
      </w:r>
    </w:p>
    <w:p w:rsidR="00782F96" w:rsidRPr="00782F96" w:rsidRDefault="00782F96" w:rsidP="00782F96">
      <w:pPr>
        <w:spacing w:after="0" w:line="240" w:lineRule="auto"/>
        <w:rPr>
          <w:rFonts w:ascii="Arial" w:hAnsi="Arial" w:cs="Arial"/>
          <w:sz w:val="20"/>
          <w:szCs w:val="20"/>
        </w:rPr>
      </w:pPr>
    </w:p>
    <w:p w:rsidR="00782F96" w:rsidRPr="00782F96" w:rsidRDefault="00782F96" w:rsidP="00782F96">
      <w:pPr>
        <w:spacing w:after="0" w:line="240" w:lineRule="auto"/>
        <w:rPr>
          <w:rFonts w:ascii="Arial" w:hAnsi="Arial" w:cs="Arial"/>
          <w:b/>
          <w:sz w:val="24"/>
          <w:szCs w:val="24"/>
        </w:rPr>
      </w:pPr>
    </w:p>
    <w:p w:rsidR="00782F96" w:rsidRPr="00782F96" w:rsidRDefault="00782F96" w:rsidP="00782F96">
      <w:pPr>
        <w:spacing w:after="0" w:line="240" w:lineRule="auto"/>
        <w:rPr>
          <w:rFonts w:ascii="Arial" w:hAnsi="Arial" w:cs="Arial"/>
          <w:sz w:val="20"/>
          <w:szCs w:val="20"/>
        </w:rPr>
      </w:pPr>
      <w:r w:rsidRPr="00782F96">
        <w:rPr>
          <w:rFonts w:ascii="Arial" w:hAnsi="Arial" w:cs="Arial"/>
          <w:b/>
          <w:sz w:val="24"/>
          <w:szCs w:val="24"/>
        </w:rPr>
        <w:t>Mögliche Systematisierung des Lernens am anderen Ort</w:t>
      </w:r>
      <w:r w:rsidRPr="00782F96">
        <w:rPr>
          <w:rFonts w:ascii="Arial" w:hAnsi="Arial" w:cs="Arial"/>
          <w:sz w:val="24"/>
          <w:szCs w:val="24"/>
        </w:rPr>
        <w:t xml:space="preserve"> </w:t>
      </w:r>
      <w:r w:rsidRPr="00782F96">
        <w:rPr>
          <w:rFonts w:ascii="Arial" w:hAnsi="Arial" w:cs="Arial"/>
          <w:sz w:val="20"/>
          <w:szCs w:val="20"/>
        </w:rPr>
        <w:t>(nach GS Sachunterricht):</w:t>
      </w:r>
    </w:p>
    <w:p w:rsidR="00782F96" w:rsidRPr="00782F96" w:rsidRDefault="00782F96" w:rsidP="00782F96">
      <w:pPr>
        <w:spacing w:after="0" w:line="240" w:lineRule="auto"/>
        <w:rPr>
          <w:rFonts w:ascii="Arial" w:hAnsi="Arial" w:cs="Arial"/>
          <w:sz w:val="24"/>
          <w:szCs w:val="24"/>
        </w:rPr>
      </w:pPr>
    </w:p>
    <w:p w:rsidR="00782F96" w:rsidRPr="00782F96" w:rsidRDefault="00782F96" w:rsidP="00782F96">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u w:val="single"/>
          <w:lang w:eastAsia="de-DE"/>
        </w:rPr>
        <w:t>Naturwissenschaftlich- technisches Lernen</w:t>
      </w:r>
      <w:r w:rsidRPr="00782F96">
        <w:rPr>
          <w:rFonts w:ascii="Arial" w:eastAsia="Times New Roman" w:hAnsi="Arial" w:cs="Arial"/>
          <w:sz w:val="24"/>
          <w:szCs w:val="24"/>
          <w:lang w:eastAsia="de-DE"/>
        </w:rPr>
        <w:t>: Kläranlage, Baustelle, Mühle</w:t>
      </w:r>
    </w:p>
    <w:p w:rsidR="00782F96" w:rsidRPr="00782F96" w:rsidRDefault="00782F96" w:rsidP="00782F96">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u w:val="single"/>
          <w:lang w:eastAsia="de-DE"/>
        </w:rPr>
        <w:t>Lernen in Natur und Raum</w:t>
      </w:r>
      <w:r w:rsidRPr="00782F96">
        <w:rPr>
          <w:rFonts w:ascii="Arial" w:eastAsia="Times New Roman" w:hAnsi="Arial" w:cs="Arial"/>
          <w:sz w:val="24"/>
          <w:szCs w:val="24"/>
          <w:lang w:eastAsia="de-DE"/>
        </w:rPr>
        <w:t>: Wald, Hecke, Teich, Bach, Wiese, Verkehrsräume</w:t>
      </w:r>
    </w:p>
    <w:p w:rsidR="00782F96" w:rsidRPr="00782F96" w:rsidRDefault="00782F96" w:rsidP="00782F96">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u w:val="single"/>
          <w:lang w:eastAsia="de-DE"/>
        </w:rPr>
        <w:t>Sozial- und kulturwissenschaftliches Lernen</w:t>
      </w:r>
      <w:r w:rsidRPr="00782F96">
        <w:rPr>
          <w:rFonts w:ascii="Arial" w:eastAsia="Times New Roman" w:hAnsi="Arial" w:cs="Arial"/>
          <w:sz w:val="24"/>
          <w:szCs w:val="24"/>
          <w:lang w:eastAsia="de-DE"/>
        </w:rPr>
        <w:t>: Bäckerei, Post, Feuerwehr</w:t>
      </w:r>
    </w:p>
    <w:p w:rsidR="00782F96" w:rsidRPr="00782F96" w:rsidRDefault="00782F96" w:rsidP="00782F96">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u w:val="single"/>
          <w:lang w:eastAsia="de-DE"/>
        </w:rPr>
        <w:t>Historisches Lernen</w:t>
      </w:r>
      <w:r w:rsidRPr="00782F96">
        <w:rPr>
          <w:rFonts w:ascii="Arial" w:eastAsia="Times New Roman" w:hAnsi="Arial" w:cs="Arial"/>
          <w:sz w:val="24"/>
          <w:szCs w:val="24"/>
          <w:lang w:eastAsia="de-DE"/>
        </w:rPr>
        <w:t>: Stadterkundung, historische Zeugnisse, Museum</w:t>
      </w:r>
    </w:p>
    <w:p w:rsidR="00782F96" w:rsidRPr="00782F96" w:rsidRDefault="00782F96" w:rsidP="00782F96">
      <w:pPr>
        <w:spacing w:line="240" w:lineRule="auto"/>
        <w:rPr>
          <w:rFonts w:ascii="Arial" w:hAnsi="Arial" w:cs="Arial"/>
          <w:sz w:val="24"/>
          <w:szCs w:val="24"/>
        </w:rPr>
      </w:pPr>
    </w:p>
    <w:p w:rsidR="00782F96" w:rsidRPr="00782F96" w:rsidRDefault="00782F96" w:rsidP="00782F96">
      <w:pPr>
        <w:spacing w:line="240" w:lineRule="auto"/>
        <w:rPr>
          <w:rFonts w:ascii="Arial" w:hAnsi="Arial" w:cs="Arial"/>
          <w:sz w:val="20"/>
          <w:szCs w:val="20"/>
        </w:rPr>
      </w:pPr>
      <w:r w:rsidRPr="00782F96">
        <w:rPr>
          <w:rFonts w:ascii="Arial" w:hAnsi="Arial" w:cs="Arial"/>
          <w:b/>
          <w:sz w:val="24"/>
          <w:szCs w:val="24"/>
        </w:rPr>
        <w:t>Sieben Aspekte, die bei der Planung hinterfragt werden müssen</w:t>
      </w:r>
      <w:r w:rsidRPr="00782F96">
        <w:rPr>
          <w:rFonts w:ascii="Arial" w:hAnsi="Arial" w:cs="Arial"/>
          <w:sz w:val="24"/>
          <w:szCs w:val="24"/>
        </w:rPr>
        <w:t xml:space="preserve"> </w:t>
      </w:r>
      <w:r w:rsidRPr="00782F96">
        <w:rPr>
          <w:rFonts w:ascii="Arial" w:hAnsi="Arial" w:cs="Arial"/>
          <w:sz w:val="20"/>
          <w:szCs w:val="20"/>
        </w:rPr>
        <w:t>(</w:t>
      </w:r>
      <w:proofErr w:type="spellStart"/>
      <w:r w:rsidRPr="00782F96">
        <w:rPr>
          <w:rFonts w:ascii="Arial" w:hAnsi="Arial" w:cs="Arial"/>
          <w:sz w:val="20"/>
          <w:szCs w:val="20"/>
        </w:rPr>
        <w:t>Dühlmeier</w:t>
      </w:r>
      <w:proofErr w:type="spellEnd"/>
      <w:r w:rsidRPr="00782F96">
        <w:rPr>
          <w:rFonts w:ascii="Arial" w:hAnsi="Arial" w:cs="Arial"/>
          <w:sz w:val="20"/>
          <w:szCs w:val="20"/>
        </w:rPr>
        <w:t xml:space="preserve"> 2008)</w:t>
      </w:r>
    </w:p>
    <w:p w:rsidR="00782F96" w:rsidRPr="00782F96" w:rsidRDefault="00782F96" w:rsidP="00782F96">
      <w:pPr>
        <w:pStyle w:val="Listenabsatz"/>
        <w:numPr>
          <w:ilvl w:val="0"/>
          <w:numId w:val="2"/>
        </w:numPr>
        <w:spacing w:line="240" w:lineRule="auto"/>
        <w:rPr>
          <w:rFonts w:ascii="Arial" w:hAnsi="Arial" w:cs="Arial"/>
          <w:sz w:val="24"/>
          <w:szCs w:val="24"/>
        </w:rPr>
      </w:pPr>
      <w:r w:rsidRPr="00782F96">
        <w:rPr>
          <w:rFonts w:ascii="Arial" w:hAnsi="Arial" w:cs="Arial"/>
          <w:b/>
          <w:sz w:val="24"/>
          <w:szCs w:val="24"/>
        </w:rPr>
        <w:t>Der außerschulische Lernort als Bestandteil des Unterrichts</w:t>
      </w:r>
      <w:r w:rsidRPr="00782F96">
        <w:rPr>
          <w:rFonts w:ascii="Arial" w:hAnsi="Arial" w:cs="Arial"/>
          <w:sz w:val="24"/>
          <w:szCs w:val="24"/>
        </w:rPr>
        <w:t>:</w:t>
      </w:r>
    </w:p>
    <w:p w:rsidR="00782F96" w:rsidRPr="00782F96" w:rsidRDefault="00782F96" w:rsidP="00782F96">
      <w:pPr>
        <w:pStyle w:val="Listenabsatz"/>
        <w:spacing w:line="240" w:lineRule="auto"/>
        <w:rPr>
          <w:rFonts w:ascii="Arial" w:hAnsi="Arial" w:cs="Arial"/>
          <w:sz w:val="24"/>
          <w:szCs w:val="24"/>
        </w:rPr>
      </w:pPr>
      <w:r w:rsidRPr="00782F96">
        <w:rPr>
          <w:rFonts w:ascii="Arial" w:hAnsi="Arial" w:cs="Arial"/>
          <w:sz w:val="24"/>
          <w:szCs w:val="24"/>
        </w:rPr>
        <w:t>Das Aufsuchen eines Lernortes ist von den aufgestellten Unterrichtszielen abhängig.</w:t>
      </w:r>
    </w:p>
    <w:p w:rsidR="00782F96" w:rsidRPr="00782F96" w:rsidRDefault="00782F96" w:rsidP="00782F96">
      <w:pPr>
        <w:pStyle w:val="Listenabsatz"/>
        <w:numPr>
          <w:ilvl w:val="0"/>
          <w:numId w:val="2"/>
        </w:numPr>
        <w:spacing w:line="240" w:lineRule="auto"/>
        <w:rPr>
          <w:rFonts w:ascii="Arial" w:hAnsi="Arial" w:cs="Arial"/>
          <w:sz w:val="24"/>
          <w:szCs w:val="24"/>
        </w:rPr>
      </w:pPr>
      <w:r w:rsidRPr="00782F96">
        <w:rPr>
          <w:rFonts w:ascii="Arial" w:hAnsi="Arial" w:cs="Arial"/>
          <w:b/>
          <w:sz w:val="24"/>
          <w:szCs w:val="24"/>
        </w:rPr>
        <w:t>Das Potenzial des Lernortes</w:t>
      </w:r>
      <w:r w:rsidRPr="00782F96">
        <w:rPr>
          <w:rFonts w:ascii="Arial" w:hAnsi="Arial" w:cs="Arial"/>
          <w:sz w:val="24"/>
          <w:szCs w:val="24"/>
        </w:rPr>
        <w:t>:</w:t>
      </w:r>
    </w:p>
    <w:p w:rsidR="00782F96" w:rsidRPr="00782F96" w:rsidRDefault="00782F96" w:rsidP="00782F96">
      <w:pPr>
        <w:pStyle w:val="Listenabsatz"/>
        <w:spacing w:line="240" w:lineRule="auto"/>
        <w:rPr>
          <w:rFonts w:ascii="Arial" w:hAnsi="Arial" w:cs="Arial"/>
          <w:sz w:val="24"/>
          <w:szCs w:val="24"/>
        </w:rPr>
      </w:pPr>
      <w:r w:rsidRPr="00782F96">
        <w:rPr>
          <w:rFonts w:ascii="Arial" w:hAnsi="Arial" w:cs="Arial"/>
          <w:sz w:val="24"/>
          <w:szCs w:val="24"/>
        </w:rPr>
        <w:t>Welches didaktische Potenzial ein Lernort bietet, wird meist nicht mit dem ersten Blick sichtbar. Gegebenenfalls ist auch der Einbezug eines Experten abzuwägen.</w:t>
      </w:r>
    </w:p>
    <w:p w:rsidR="00782F96" w:rsidRPr="00782F96" w:rsidRDefault="00782F96" w:rsidP="00782F96">
      <w:pPr>
        <w:pStyle w:val="Listenabsatz"/>
        <w:numPr>
          <w:ilvl w:val="0"/>
          <w:numId w:val="2"/>
        </w:numPr>
        <w:spacing w:line="240" w:lineRule="auto"/>
        <w:rPr>
          <w:rFonts w:ascii="Arial" w:hAnsi="Arial" w:cs="Arial"/>
          <w:sz w:val="24"/>
          <w:szCs w:val="24"/>
        </w:rPr>
      </w:pPr>
      <w:r w:rsidRPr="00782F96">
        <w:rPr>
          <w:rFonts w:ascii="Arial" w:hAnsi="Arial" w:cs="Arial"/>
          <w:b/>
          <w:sz w:val="24"/>
          <w:szCs w:val="24"/>
        </w:rPr>
        <w:lastRenderedPageBreak/>
        <w:t>Zeitpunkt des Aufsuchens des Lernortes</w:t>
      </w:r>
      <w:r w:rsidRPr="00782F96">
        <w:rPr>
          <w:rFonts w:ascii="Arial" w:hAnsi="Arial" w:cs="Arial"/>
          <w:sz w:val="24"/>
          <w:szCs w:val="24"/>
        </w:rPr>
        <w:t>:</w:t>
      </w:r>
    </w:p>
    <w:p w:rsidR="00782F96" w:rsidRPr="00782F96" w:rsidRDefault="00782F96" w:rsidP="00782F96">
      <w:pPr>
        <w:pStyle w:val="Listenabsatz"/>
        <w:spacing w:line="240" w:lineRule="auto"/>
        <w:rPr>
          <w:rFonts w:ascii="Arial" w:hAnsi="Arial" w:cs="Arial"/>
          <w:sz w:val="24"/>
          <w:szCs w:val="24"/>
        </w:rPr>
      </w:pPr>
      <w:r w:rsidRPr="00782F96">
        <w:rPr>
          <w:rFonts w:ascii="Arial" w:hAnsi="Arial" w:cs="Arial"/>
          <w:sz w:val="24"/>
          <w:szCs w:val="24"/>
        </w:rPr>
        <w:t xml:space="preserve">Es gibt die Möglichkeit, einen Lernort zu Beginn, während oder am Ende einer Unterrichtseinheit aufzusuchen. Alle drei Möglichkeiten „erfordern den klassischen Dreischritt aus Vorbereitungs-, Realisierungs- und Auswertungsphase“ </w:t>
      </w:r>
      <w:r w:rsidRPr="00782F96">
        <w:rPr>
          <w:rFonts w:ascii="Arial" w:hAnsi="Arial" w:cs="Arial"/>
          <w:sz w:val="20"/>
          <w:szCs w:val="20"/>
        </w:rPr>
        <w:t>(</w:t>
      </w:r>
      <w:proofErr w:type="spellStart"/>
      <w:r w:rsidRPr="00782F96">
        <w:rPr>
          <w:rFonts w:ascii="Arial" w:hAnsi="Arial" w:cs="Arial"/>
          <w:sz w:val="20"/>
          <w:szCs w:val="20"/>
        </w:rPr>
        <w:t>Dühlmeier</w:t>
      </w:r>
      <w:proofErr w:type="spellEnd"/>
      <w:r w:rsidRPr="00782F96">
        <w:rPr>
          <w:rFonts w:ascii="Arial" w:hAnsi="Arial" w:cs="Arial"/>
          <w:sz w:val="20"/>
          <w:szCs w:val="20"/>
        </w:rPr>
        <w:t xml:space="preserve"> 2008)</w:t>
      </w:r>
      <w:bookmarkStart w:id="0" w:name="_GoBack"/>
      <w:bookmarkEnd w:id="0"/>
    </w:p>
    <w:p w:rsidR="00782F96" w:rsidRPr="00782F96" w:rsidRDefault="00782F96" w:rsidP="00782F96">
      <w:pPr>
        <w:pStyle w:val="Listenabsatz"/>
        <w:numPr>
          <w:ilvl w:val="0"/>
          <w:numId w:val="2"/>
        </w:numPr>
        <w:spacing w:line="240" w:lineRule="auto"/>
        <w:rPr>
          <w:rFonts w:ascii="Arial" w:hAnsi="Arial" w:cs="Arial"/>
          <w:b/>
          <w:sz w:val="24"/>
          <w:szCs w:val="24"/>
        </w:rPr>
      </w:pPr>
      <w:r w:rsidRPr="00782F96">
        <w:rPr>
          <w:rFonts w:ascii="Arial" w:hAnsi="Arial" w:cs="Arial"/>
          <w:b/>
          <w:sz w:val="24"/>
          <w:szCs w:val="24"/>
        </w:rPr>
        <w:t>Bedenken der Planungsschritte</w:t>
      </w:r>
    </w:p>
    <w:p w:rsidR="00782F96" w:rsidRPr="00782F96" w:rsidRDefault="00782F96" w:rsidP="00782F96">
      <w:pPr>
        <w:pStyle w:val="Listenabsatz"/>
        <w:numPr>
          <w:ilvl w:val="0"/>
          <w:numId w:val="2"/>
        </w:numPr>
        <w:spacing w:line="240" w:lineRule="auto"/>
        <w:rPr>
          <w:rFonts w:ascii="Arial" w:hAnsi="Arial" w:cs="Arial"/>
          <w:sz w:val="24"/>
          <w:szCs w:val="24"/>
        </w:rPr>
      </w:pPr>
      <w:r w:rsidRPr="00782F96">
        <w:rPr>
          <w:rFonts w:ascii="Arial" w:hAnsi="Arial" w:cs="Arial"/>
          <w:b/>
          <w:sz w:val="24"/>
          <w:szCs w:val="24"/>
        </w:rPr>
        <w:t>Handlungsmöglichkeiten für die Schüler</w:t>
      </w:r>
      <w:r w:rsidRPr="00782F96">
        <w:rPr>
          <w:rFonts w:ascii="Arial" w:hAnsi="Arial" w:cs="Arial"/>
          <w:sz w:val="24"/>
          <w:szCs w:val="24"/>
        </w:rPr>
        <w:t>:</w:t>
      </w:r>
    </w:p>
    <w:p w:rsidR="00782F96" w:rsidRPr="00782F96" w:rsidRDefault="00782F96" w:rsidP="00782F96">
      <w:pPr>
        <w:pStyle w:val="Listenabsatz"/>
        <w:spacing w:line="240" w:lineRule="auto"/>
        <w:rPr>
          <w:rFonts w:ascii="Arial" w:hAnsi="Arial" w:cs="Arial"/>
          <w:sz w:val="24"/>
          <w:szCs w:val="24"/>
        </w:rPr>
      </w:pPr>
      <w:r w:rsidRPr="00782F96">
        <w:rPr>
          <w:rFonts w:ascii="Arial" w:hAnsi="Arial" w:cs="Arial"/>
          <w:sz w:val="24"/>
          <w:szCs w:val="24"/>
        </w:rPr>
        <w:t>Um handlungsorientiertem Unterricht gerecht zu werden, muss geprüft werden, welche Handlungsmöglichkeiten vor Ort bestehen. (siehe „Strukturierung des Lernens vor Ort“)</w:t>
      </w:r>
    </w:p>
    <w:p w:rsidR="00782F96" w:rsidRPr="00782F96" w:rsidRDefault="00782F96" w:rsidP="00782F96">
      <w:pPr>
        <w:pStyle w:val="Listenabsatz"/>
        <w:numPr>
          <w:ilvl w:val="0"/>
          <w:numId w:val="2"/>
        </w:numPr>
        <w:spacing w:line="240" w:lineRule="auto"/>
        <w:rPr>
          <w:rFonts w:ascii="Arial" w:hAnsi="Arial" w:cs="Arial"/>
          <w:sz w:val="24"/>
          <w:szCs w:val="24"/>
        </w:rPr>
      </w:pPr>
      <w:r w:rsidRPr="00782F96">
        <w:rPr>
          <w:rFonts w:ascii="Arial" w:hAnsi="Arial" w:cs="Arial"/>
          <w:b/>
          <w:sz w:val="24"/>
          <w:szCs w:val="24"/>
        </w:rPr>
        <w:t>Dokumentationsformen zur Nachbetrachtung</w:t>
      </w:r>
      <w:r w:rsidRPr="00782F96">
        <w:rPr>
          <w:rFonts w:ascii="Arial" w:hAnsi="Arial" w:cs="Arial"/>
          <w:sz w:val="24"/>
          <w:szCs w:val="24"/>
        </w:rPr>
        <w:t>:</w:t>
      </w:r>
    </w:p>
    <w:p w:rsidR="00782F96" w:rsidRPr="00782F96" w:rsidRDefault="00782F96" w:rsidP="00782F96">
      <w:pPr>
        <w:pStyle w:val="Listenabsatz"/>
        <w:spacing w:line="240" w:lineRule="auto"/>
        <w:rPr>
          <w:rFonts w:ascii="Arial" w:hAnsi="Arial" w:cs="Arial"/>
          <w:sz w:val="24"/>
          <w:szCs w:val="24"/>
        </w:rPr>
      </w:pPr>
      <w:r w:rsidRPr="00782F96">
        <w:rPr>
          <w:rFonts w:ascii="Arial" w:hAnsi="Arial" w:cs="Arial"/>
          <w:sz w:val="24"/>
          <w:szCs w:val="24"/>
        </w:rPr>
        <w:t>Zu jedem Besuch eines außerschulischen Lernortes gehört eine Nachbetrachtung, in der Entdecktes besprochen und neues Wissen gefestigt und vernetzt wird. Beispiele: Ausstellung, Plakat, Quiz, Schaukasten, Vortrag, Zeitungsartikel, Lerntagebuch, …</w:t>
      </w:r>
    </w:p>
    <w:p w:rsidR="00782F96" w:rsidRPr="00782F96" w:rsidRDefault="00782F96" w:rsidP="00782F96">
      <w:pPr>
        <w:pStyle w:val="Listenabsatz"/>
        <w:numPr>
          <w:ilvl w:val="0"/>
          <w:numId w:val="2"/>
        </w:numPr>
        <w:spacing w:line="240" w:lineRule="auto"/>
        <w:rPr>
          <w:rFonts w:ascii="Arial" w:hAnsi="Arial" w:cs="Arial"/>
          <w:sz w:val="24"/>
          <w:szCs w:val="24"/>
        </w:rPr>
      </w:pPr>
      <w:r w:rsidRPr="00782F96">
        <w:rPr>
          <w:rFonts w:ascii="Arial" w:hAnsi="Arial" w:cs="Arial"/>
          <w:b/>
          <w:sz w:val="24"/>
          <w:szCs w:val="24"/>
        </w:rPr>
        <w:t>Formulieren und Gestalten von Arbeitsaufträgen</w:t>
      </w:r>
      <w:r w:rsidRPr="00782F96">
        <w:rPr>
          <w:rFonts w:ascii="Arial" w:hAnsi="Arial" w:cs="Arial"/>
          <w:sz w:val="24"/>
          <w:szCs w:val="24"/>
        </w:rPr>
        <w:t>:</w:t>
      </w:r>
    </w:p>
    <w:p w:rsidR="00782F96" w:rsidRPr="00782F96" w:rsidRDefault="00782F96" w:rsidP="00782F96">
      <w:pPr>
        <w:pStyle w:val="Listenabsatz"/>
        <w:spacing w:line="240" w:lineRule="auto"/>
        <w:rPr>
          <w:rFonts w:ascii="Arial" w:hAnsi="Arial" w:cs="Arial"/>
          <w:sz w:val="24"/>
          <w:szCs w:val="24"/>
        </w:rPr>
      </w:pPr>
      <w:r w:rsidRPr="00782F96">
        <w:rPr>
          <w:rFonts w:ascii="Arial" w:hAnsi="Arial" w:cs="Arial"/>
          <w:sz w:val="24"/>
          <w:szCs w:val="24"/>
        </w:rPr>
        <w:t>Für Schüler möglichst kurze, aber präzise und motivierende Aufgabenstellungen formulieren. Es muss deutlich werden, welches Ziel diese verfolgen, ob sie in Einzel-, Partner- oder Gruppenarbeit zu erfüllen sind, welches Ergebnis erwartet wird, mit welcher Methode dies erreicht werden kann und wie das Ergebnis präsentiert werden soll.</w:t>
      </w:r>
    </w:p>
    <w:p w:rsidR="00782F96" w:rsidRPr="00782F96" w:rsidRDefault="00782F96" w:rsidP="00782F96">
      <w:pPr>
        <w:pStyle w:val="Listenabsatz"/>
        <w:spacing w:line="240" w:lineRule="auto"/>
        <w:rPr>
          <w:rFonts w:ascii="Arial" w:hAnsi="Arial" w:cs="Arial"/>
          <w:sz w:val="24"/>
          <w:szCs w:val="24"/>
        </w:rPr>
      </w:pPr>
    </w:p>
    <w:p w:rsidR="00782F96" w:rsidRPr="00782F96" w:rsidRDefault="00782F96" w:rsidP="00782F96">
      <w:pPr>
        <w:pStyle w:val="Listenabsatz"/>
        <w:spacing w:line="240" w:lineRule="auto"/>
        <w:rPr>
          <w:rFonts w:ascii="Arial" w:hAnsi="Arial" w:cs="Arial"/>
          <w:b/>
          <w:sz w:val="24"/>
          <w:szCs w:val="24"/>
        </w:rPr>
      </w:pPr>
      <w:r w:rsidRPr="00782F96">
        <w:rPr>
          <w:rFonts w:ascii="Arial" w:hAnsi="Arial" w:cs="Arial"/>
          <w:b/>
          <w:sz w:val="24"/>
          <w:szCs w:val="24"/>
        </w:rPr>
        <w:t>Ziel</w:t>
      </w:r>
    </w:p>
    <w:p w:rsidR="00782F96" w:rsidRPr="00782F96" w:rsidRDefault="00782F96" w:rsidP="00782F96">
      <w:pPr>
        <w:pStyle w:val="Listenabsatz"/>
        <w:spacing w:line="240" w:lineRule="auto"/>
        <w:rPr>
          <w:rFonts w:ascii="Arial" w:hAnsi="Arial" w:cs="Arial"/>
          <w:b/>
          <w:sz w:val="24"/>
          <w:szCs w:val="24"/>
        </w:rPr>
      </w:pPr>
    </w:p>
    <w:p w:rsidR="00782F96" w:rsidRPr="00782F96" w:rsidRDefault="00782F96" w:rsidP="00782F96">
      <w:pPr>
        <w:pStyle w:val="Listenabsatz"/>
        <w:spacing w:line="240" w:lineRule="auto"/>
        <w:ind w:left="0"/>
        <w:rPr>
          <w:rFonts w:ascii="Arial" w:hAnsi="Arial" w:cs="Arial"/>
          <w:sz w:val="20"/>
          <w:szCs w:val="20"/>
        </w:rPr>
      </w:pPr>
      <w:r w:rsidRPr="00782F96">
        <w:rPr>
          <w:rFonts w:ascii="Arial" w:hAnsi="Arial" w:cs="Arial"/>
          <w:sz w:val="24"/>
          <w:szCs w:val="24"/>
        </w:rPr>
        <w:t xml:space="preserve">Das Aufsuchen eines Museums, einer Wiese, einer Arbeitsstätte u. ä. soll Fragen wecken und Antworten geben, die für das Kind fassbar sind. Gerade in der Zeit der Erfahrungsarmut mancher Kinder ist es dabei notwendig, ihnen Möglichkeiten der Entdeckung aufzuzeigen. </w:t>
      </w:r>
      <w:r w:rsidRPr="00782F96">
        <w:rPr>
          <w:rFonts w:ascii="Arial" w:hAnsi="Arial" w:cs="Arial"/>
          <w:sz w:val="20"/>
          <w:szCs w:val="20"/>
        </w:rPr>
        <w:t>(Burk und Clausen 1998)</w:t>
      </w:r>
    </w:p>
    <w:p w:rsidR="00782F96" w:rsidRPr="00782F96" w:rsidRDefault="00782F96" w:rsidP="00782F96">
      <w:pPr>
        <w:pStyle w:val="Listenabsatz"/>
        <w:spacing w:line="240" w:lineRule="auto"/>
        <w:ind w:left="0"/>
        <w:rPr>
          <w:rFonts w:ascii="Arial" w:hAnsi="Arial" w:cs="Arial"/>
          <w:sz w:val="20"/>
          <w:szCs w:val="20"/>
        </w:rPr>
      </w:pPr>
    </w:p>
    <w:p w:rsidR="00782F96" w:rsidRPr="00782F96" w:rsidRDefault="00782F96" w:rsidP="00782F96">
      <w:pPr>
        <w:pStyle w:val="Listenabsatz"/>
        <w:spacing w:line="240" w:lineRule="auto"/>
        <w:ind w:left="0"/>
        <w:rPr>
          <w:rFonts w:ascii="Arial" w:hAnsi="Arial" w:cs="Arial"/>
          <w:sz w:val="24"/>
          <w:szCs w:val="24"/>
        </w:rPr>
      </w:pPr>
    </w:p>
    <w:p w:rsidR="00782F96" w:rsidRPr="00782F96" w:rsidRDefault="00782F96" w:rsidP="00782F96">
      <w:pPr>
        <w:pStyle w:val="Listenabsatz"/>
        <w:spacing w:line="240" w:lineRule="auto"/>
        <w:ind w:left="0"/>
        <w:rPr>
          <w:rFonts w:ascii="Arial" w:hAnsi="Arial" w:cs="Arial"/>
          <w:b/>
          <w:sz w:val="24"/>
          <w:szCs w:val="24"/>
        </w:rPr>
      </w:pPr>
    </w:p>
    <w:p w:rsidR="00782F96" w:rsidRPr="00782F96" w:rsidRDefault="00782F96" w:rsidP="00782F96">
      <w:pPr>
        <w:pStyle w:val="Listenabsatz"/>
        <w:spacing w:line="240" w:lineRule="auto"/>
        <w:ind w:left="0"/>
        <w:rPr>
          <w:rFonts w:ascii="Arial" w:hAnsi="Arial" w:cs="Arial"/>
          <w:b/>
          <w:sz w:val="24"/>
          <w:szCs w:val="24"/>
        </w:rPr>
      </w:pPr>
    </w:p>
    <w:p w:rsidR="00782F96" w:rsidRPr="00782F96" w:rsidRDefault="00782F96" w:rsidP="00782F96">
      <w:pPr>
        <w:pStyle w:val="Listenabsatz"/>
        <w:spacing w:line="240" w:lineRule="auto"/>
        <w:ind w:left="0"/>
        <w:rPr>
          <w:rFonts w:ascii="Arial" w:hAnsi="Arial" w:cs="Arial"/>
          <w:b/>
          <w:sz w:val="24"/>
          <w:szCs w:val="24"/>
        </w:rPr>
      </w:pPr>
    </w:p>
    <w:p w:rsidR="00782F96" w:rsidRPr="00782F96" w:rsidRDefault="00782F96" w:rsidP="00782F96">
      <w:pPr>
        <w:keepNext/>
        <w:spacing w:after="0" w:line="240" w:lineRule="auto"/>
        <w:outlineLvl w:val="2"/>
        <w:rPr>
          <w:rFonts w:ascii="Arial" w:eastAsia="Times New Roman" w:hAnsi="Arial" w:cs="Arial"/>
          <w:b/>
          <w:sz w:val="24"/>
          <w:szCs w:val="24"/>
          <w:u w:val="single"/>
          <w:lang w:eastAsia="de-DE"/>
        </w:rPr>
      </w:pPr>
      <w:r w:rsidRPr="00782F96">
        <w:rPr>
          <w:rFonts w:ascii="Arial" w:eastAsia="Times New Roman" w:hAnsi="Arial" w:cs="Arial"/>
          <w:b/>
          <w:sz w:val="24"/>
          <w:szCs w:val="24"/>
          <w:u w:val="single"/>
          <w:lang w:eastAsia="de-DE"/>
        </w:rPr>
        <w:t>Strukturierung des Lernens „vor Ort“</w:t>
      </w:r>
    </w:p>
    <w:p w:rsidR="00782F96" w:rsidRPr="00782F96" w:rsidRDefault="00782F96" w:rsidP="00782F96">
      <w:pPr>
        <w:tabs>
          <w:tab w:val="left" w:pos="1455"/>
        </w:tabs>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6"/>
        <w:gridCol w:w="5596"/>
      </w:tblGrid>
      <w:tr w:rsidR="00782F96" w:rsidRPr="00782F96" w:rsidTr="006E3880">
        <w:tc>
          <w:tcPr>
            <w:tcW w:w="3670" w:type="dxa"/>
          </w:tcPr>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Phase/Schritte</w:t>
            </w:r>
          </w:p>
        </w:tc>
        <w:tc>
          <w:tcPr>
            <w:tcW w:w="5699" w:type="dxa"/>
          </w:tcPr>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Aktivitäten der Kinder</w:t>
            </w:r>
          </w:p>
          <w:p w:rsidR="00782F96" w:rsidRPr="00782F96" w:rsidRDefault="00782F96" w:rsidP="006E3880">
            <w:pPr>
              <w:spacing w:after="0" w:line="240" w:lineRule="auto"/>
              <w:rPr>
                <w:rFonts w:ascii="Arial" w:eastAsia="Times New Roman" w:hAnsi="Arial" w:cs="Arial"/>
                <w:sz w:val="24"/>
                <w:szCs w:val="24"/>
                <w:lang w:eastAsia="de-DE"/>
              </w:rPr>
            </w:pPr>
          </w:p>
        </w:tc>
      </w:tr>
      <w:tr w:rsidR="00782F96" w:rsidRPr="00782F96" w:rsidTr="006E3880">
        <w:trPr>
          <w:trHeight w:val="1749"/>
        </w:trPr>
        <w:tc>
          <w:tcPr>
            <w:tcW w:w="3670" w:type="dxa"/>
          </w:tcPr>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1. Vorbereitung auf das </w:t>
            </w:r>
          </w:p>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   Lernen „vor Ort“</w:t>
            </w:r>
          </w:p>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   (Vorbereitungsphase)</w:t>
            </w:r>
          </w:p>
        </w:tc>
        <w:tc>
          <w:tcPr>
            <w:tcW w:w="5699" w:type="dxa"/>
          </w:tcPr>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Informationsmaterial und Fragen sammeln</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Ziele präzisieren</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Organisatorische Vereinbarungen treffen</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Beobachtungshilfen und Werkzeuge bereitstellen</w:t>
            </w:r>
          </w:p>
          <w:p w:rsidR="00782F96" w:rsidRPr="00782F96" w:rsidRDefault="00782F96" w:rsidP="006E3880">
            <w:pPr>
              <w:spacing w:after="0" w:line="240" w:lineRule="auto"/>
              <w:rPr>
                <w:rFonts w:ascii="Arial" w:eastAsia="Times New Roman" w:hAnsi="Arial" w:cs="Arial"/>
                <w:sz w:val="24"/>
                <w:szCs w:val="24"/>
                <w:lang w:eastAsia="de-DE"/>
              </w:rPr>
            </w:pPr>
          </w:p>
        </w:tc>
      </w:tr>
      <w:tr w:rsidR="00782F96" w:rsidRPr="00782F96" w:rsidTr="006E3880">
        <w:tc>
          <w:tcPr>
            <w:tcW w:w="3670" w:type="dxa"/>
          </w:tcPr>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2. Handelnde Auseinanderset-</w:t>
            </w:r>
          </w:p>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    </w:t>
            </w:r>
            <w:proofErr w:type="spellStart"/>
            <w:r w:rsidRPr="00782F96">
              <w:rPr>
                <w:rFonts w:ascii="Arial" w:eastAsia="Times New Roman" w:hAnsi="Arial" w:cs="Arial"/>
                <w:sz w:val="24"/>
                <w:szCs w:val="24"/>
                <w:lang w:eastAsia="de-DE"/>
              </w:rPr>
              <w:t>zung</w:t>
            </w:r>
            <w:proofErr w:type="spellEnd"/>
            <w:r w:rsidRPr="00782F96">
              <w:rPr>
                <w:rFonts w:ascii="Arial" w:eastAsia="Times New Roman" w:hAnsi="Arial" w:cs="Arial"/>
                <w:sz w:val="24"/>
                <w:szCs w:val="24"/>
                <w:lang w:eastAsia="de-DE"/>
              </w:rPr>
              <w:t xml:space="preserve"> mit dem Lernort, mit</w:t>
            </w:r>
          </w:p>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    Sachen und Phänomenen</w:t>
            </w:r>
          </w:p>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    (Realisierungsphase)</w:t>
            </w:r>
          </w:p>
        </w:tc>
        <w:tc>
          <w:tcPr>
            <w:tcW w:w="5699" w:type="dxa"/>
          </w:tcPr>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Wahrnehmen - Betrachten – Beobachten </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Entdecken - Ausprobieren</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Zeigen - Benennen</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Fragen - Interviewen</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Skizzieren – Zeichnen - Fotografieren</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Sammeln</w:t>
            </w:r>
          </w:p>
        </w:tc>
      </w:tr>
      <w:tr w:rsidR="00782F96" w:rsidRPr="00782F96" w:rsidTr="006E3880">
        <w:tc>
          <w:tcPr>
            <w:tcW w:w="3670" w:type="dxa"/>
          </w:tcPr>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lastRenderedPageBreak/>
              <w:t>3. Auswertung der Eindrücke,</w:t>
            </w:r>
          </w:p>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   Erlebnisse, Erfahrungen</w:t>
            </w:r>
          </w:p>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   Reflektieren des</w:t>
            </w:r>
          </w:p>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   Wissenszuwachses</w:t>
            </w:r>
          </w:p>
          <w:p w:rsidR="00782F96" w:rsidRPr="00782F96" w:rsidRDefault="00782F96" w:rsidP="006E3880">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   (Auswertungsphase)</w:t>
            </w:r>
          </w:p>
        </w:tc>
        <w:tc>
          <w:tcPr>
            <w:tcW w:w="5699" w:type="dxa"/>
          </w:tcPr>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 xml:space="preserve">Ordnen – Beschriften </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Grafiken – Schautafeln – Texte herstellen</w:t>
            </w:r>
          </w:p>
          <w:p w:rsidR="00782F96" w:rsidRPr="00782F96" w:rsidRDefault="00782F96" w:rsidP="006E3880">
            <w:pPr>
              <w:numPr>
                <w:ilvl w:val="0"/>
                <w:numId w:val="3"/>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Dokumentieren – Präsentieren - Ausstellen</w:t>
            </w:r>
          </w:p>
        </w:tc>
      </w:tr>
    </w:tbl>
    <w:p w:rsidR="00782F96" w:rsidRPr="00782F96" w:rsidRDefault="00782F96" w:rsidP="00782F96">
      <w:pPr>
        <w:pStyle w:val="Listenabsatz"/>
        <w:spacing w:line="240" w:lineRule="auto"/>
        <w:rPr>
          <w:rFonts w:ascii="Arial" w:hAnsi="Arial" w:cs="Arial"/>
          <w:sz w:val="24"/>
          <w:szCs w:val="24"/>
        </w:rPr>
      </w:pPr>
      <w:r w:rsidRPr="00782F96">
        <w:rPr>
          <w:rFonts w:ascii="Arial" w:hAnsi="Arial" w:cs="Arial"/>
          <w:sz w:val="24"/>
          <w:szCs w:val="24"/>
        </w:rPr>
        <w:tab/>
      </w:r>
      <w:r w:rsidRPr="00782F96">
        <w:rPr>
          <w:rFonts w:ascii="Arial" w:hAnsi="Arial" w:cs="Arial"/>
          <w:sz w:val="24"/>
          <w:szCs w:val="24"/>
        </w:rPr>
        <w:tab/>
      </w:r>
      <w:r w:rsidRPr="00782F96">
        <w:rPr>
          <w:rFonts w:ascii="Arial" w:hAnsi="Arial" w:cs="Arial"/>
          <w:sz w:val="24"/>
          <w:szCs w:val="24"/>
        </w:rPr>
        <w:tab/>
      </w:r>
      <w:r w:rsidRPr="00782F96">
        <w:rPr>
          <w:rFonts w:ascii="Arial" w:hAnsi="Arial" w:cs="Arial"/>
          <w:sz w:val="24"/>
          <w:szCs w:val="24"/>
        </w:rPr>
        <w:tab/>
      </w:r>
      <w:r w:rsidRPr="00782F96">
        <w:rPr>
          <w:rFonts w:ascii="Arial" w:hAnsi="Arial" w:cs="Arial"/>
          <w:sz w:val="24"/>
          <w:szCs w:val="24"/>
        </w:rPr>
        <w:tab/>
      </w:r>
      <w:r w:rsidRPr="00782F96">
        <w:rPr>
          <w:rFonts w:ascii="Arial" w:hAnsi="Arial" w:cs="Arial"/>
          <w:sz w:val="24"/>
          <w:szCs w:val="24"/>
        </w:rPr>
        <w:tab/>
      </w:r>
      <w:r w:rsidRPr="00782F96">
        <w:rPr>
          <w:rFonts w:ascii="Arial" w:hAnsi="Arial" w:cs="Arial"/>
          <w:sz w:val="24"/>
          <w:szCs w:val="24"/>
        </w:rPr>
        <w:tab/>
      </w:r>
    </w:p>
    <w:p w:rsidR="00782F96" w:rsidRPr="00782F96" w:rsidRDefault="00782F96" w:rsidP="00782F96">
      <w:pPr>
        <w:keepNext/>
        <w:spacing w:after="0" w:line="240" w:lineRule="auto"/>
        <w:outlineLvl w:val="1"/>
        <w:rPr>
          <w:rFonts w:ascii="Arial" w:eastAsia="Times New Roman" w:hAnsi="Arial" w:cs="Arial"/>
          <w:b/>
          <w:sz w:val="24"/>
          <w:szCs w:val="24"/>
          <w:u w:val="single"/>
          <w:lang w:eastAsia="de-DE"/>
        </w:rPr>
      </w:pPr>
      <w:r w:rsidRPr="00782F96">
        <w:rPr>
          <w:rFonts w:ascii="Arial" w:eastAsia="Times New Roman" w:hAnsi="Arial" w:cs="Arial"/>
          <w:b/>
          <w:sz w:val="24"/>
          <w:szCs w:val="24"/>
          <w:u w:val="single"/>
          <w:lang w:eastAsia="de-DE"/>
        </w:rPr>
        <w:t>Lernchancen</w:t>
      </w:r>
    </w:p>
    <w:p w:rsidR="00782F96" w:rsidRPr="00782F96" w:rsidRDefault="00782F96" w:rsidP="00782F96">
      <w:pPr>
        <w:numPr>
          <w:ilvl w:val="0"/>
          <w:numId w:val="4"/>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Motivierung, Weckung von Neugier und Interesse , Erhöhung der Lernbereitschaft</w:t>
      </w:r>
    </w:p>
    <w:p w:rsidR="00782F96" w:rsidRPr="00782F96" w:rsidRDefault="00782F96" w:rsidP="00782F96">
      <w:pPr>
        <w:numPr>
          <w:ilvl w:val="0"/>
          <w:numId w:val="4"/>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Selbstständige Erkundung der Lebenswirklichkeit, Wirklichkeitserfahrungen</w:t>
      </w:r>
    </w:p>
    <w:p w:rsidR="00782F96" w:rsidRPr="00782F96" w:rsidRDefault="00782F96" w:rsidP="00782F96">
      <w:pPr>
        <w:numPr>
          <w:ilvl w:val="0"/>
          <w:numId w:val="4"/>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Beteiligung aller Sinne</w:t>
      </w:r>
    </w:p>
    <w:p w:rsidR="00782F96" w:rsidRPr="00782F96" w:rsidRDefault="00782F96" w:rsidP="00782F96">
      <w:pPr>
        <w:numPr>
          <w:ilvl w:val="0"/>
          <w:numId w:val="4"/>
        </w:num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Förderung der Gesamtpersönlichkeit der Kinder</w:t>
      </w:r>
    </w:p>
    <w:p w:rsidR="00782F96" w:rsidRPr="00782F96" w:rsidRDefault="00782F96" w:rsidP="00782F96">
      <w:pPr>
        <w:numPr>
          <w:ilvl w:val="0"/>
          <w:numId w:val="4"/>
        </w:numPr>
        <w:spacing w:after="0" w:line="240" w:lineRule="auto"/>
        <w:rPr>
          <w:rFonts w:ascii="Arial" w:hAnsi="Arial" w:cs="Arial"/>
          <w:sz w:val="24"/>
          <w:szCs w:val="24"/>
        </w:rPr>
      </w:pPr>
      <w:r w:rsidRPr="00782F96">
        <w:rPr>
          <w:rFonts w:ascii="Arial" w:hAnsi="Arial" w:cs="Arial"/>
          <w:sz w:val="24"/>
          <w:szCs w:val="24"/>
        </w:rPr>
        <w:t>Ausbildung von Selbst-, Sozial-, Sach- und Methodenkompetenz</w:t>
      </w:r>
    </w:p>
    <w:p w:rsidR="00782F96" w:rsidRPr="00782F96" w:rsidRDefault="00782F96" w:rsidP="00782F96">
      <w:pPr>
        <w:numPr>
          <w:ilvl w:val="0"/>
          <w:numId w:val="4"/>
        </w:numPr>
        <w:spacing w:after="0" w:line="240" w:lineRule="auto"/>
        <w:rPr>
          <w:rFonts w:ascii="Arial" w:hAnsi="Arial" w:cs="Arial"/>
          <w:sz w:val="24"/>
          <w:szCs w:val="24"/>
        </w:rPr>
      </w:pPr>
      <w:r w:rsidRPr="00782F96">
        <w:rPr>
          <w:rFonts w:ascii="Arial" w:hAnsi="Arial" w:cs="Arial"/>
          <w:sz w:val="24"/>
          <w:szCs w:val="24"/>
        </w:rPr>
        <w:t>Handlungsbereitschaft, Handlungsfähigkeit</w:t>
      </w:r>
    </w:p>
    <w:p w:rsidR="00782F96" w:rsidRPr="00782F96" w:rsidRDefault="00782F96" w:rsidP="00782F96">
      <w:pPr>
        <w:numPr>
          <w:ilvl w:val="0"/>
          <w:numId w:val="4"/>
        </w:numPr>
        <w:spacing w:after="0" w:line="240" w:lineRule="auto"/>
        <w:rPr>
          <w:rFonts w:ascii="Arial" w:hAnsi="Arial" w:cs="Arial"/>
          <w:sz w:val="24"/>
          <w:szCs w:val="24"/>
        </w:rPr>
      </w:pPr>
      <w:r w:rsidRPr="00782F96">
        <w:rPr>
          <w:rFonts w:ascii="Arial" w:hAnsi="Arial" w:cs="Arial"/>
          <w:sz w:val="24"/>
          <w:szCs w:val="24"/>
        </w:rPr>
        <w:t>Einsicht in Zusammenhänge</w:t>
      </w:r>
    </w:p>
    <w:p w:rsidR="00782F96" w:rsidRPr="00782F96" w:rsidRDefault="00782F96" w:rsidP="00782F96">
      <w:pPr>
        <w:numPr>
          <w:ilvl w:val="0"/>
          <w:numId w:val="4"/>
        </w:numPr>
        <w:spacing w:after="0" w:line="240" w:lineRule="auto"/>
        <w:rPr>
          <w:rFonts w:ascii="Arial" w:hAnsi="Arial" w:cs="Arial"/>
          <w:sz w:val="24"/>
          <w:szCs w:val="24"/>
        </w:rPr>
      </w:pPr>
      <w:r w:rsidRPr="00782F96">
        <w:rPr>
          <w:rFonts w:ascii="Arial" w:hAnsi="Arial" w:cs="Arial"/>
          <w:sz w:val="24"/>
          <w:szCs w:val="24"/>
        </w:rPr>
        <w:t>Fragende Haltung der Welt gegenüber</w:t>
      </w:r>
    </w:p>
    <w:p w:rsidR="00782F96" w:rsidRPr="00782F96" w:rsidRDefault="00782F96" w:rsidP="00782F96">
      <w:pPr>
        <w:numPr>
          <w:ilvl w:val="0"/>
          <w:numId w:val="4"/>
        </w:numPr>
        <w:spacing w:after="0" w:line="240" w:lineRule="auto"/>
        <w:rPr>
          <w:rFonts w:ascii="Arial" w:hAnsi="Arial" w:cs="Arial"/>
          <w:sz w:val="24"/>
          <w:szCs w:val="24"/>
        </w:rPr>
      </w:pPr>
      <w:r w:rsidRPr="00782F96">
        <w:rPr>
          <w:rFonts w:ascii="Arial" w:hAnsi="Arial" w:cs="Arial"/>
          <w:sz w:val="24"/>
          <w:szCs w:val="24"/>
        </w:rPr>
        <w:t>Steigerung der Lerneffektivität durch handelnden Umgang, konkrete Anschauung</w:t>
      </w:r>
      <w:r w:rsidRPr="00782F96">
        <w:rPr>
          <w:rFonts w:ascii="Arial" w:hAnsi="Arial" w:cs="Arial"/>
          <w:sz w:val="24"/>
          <w:szCs w:val="24"/>
        </w:rPr>
        <w:tab/>
      </w:r>
      <w:r w:rsidRPr="00782F96">
        <w:rPr>
          <w:rFonts w:ascii="Arial" w:hAnsi="Arial" w:cs="Arial"/>
          <w:sz w:val="24"/>
          <w:szCs w:val="24"/>
        </w:rPr>
        <w:tab/>
      </w:r>
      <w:r w:rsidRPr="00782F96">
        <w:rPr>
          <w:rFonts w:ascii="Arial" w:hAnsi="Arial" w:cs="Arial"/>
          <w:sz w:val="24"/>
          <w:szCs w:val="24"/>
        </w:rPr>
        <w:tab/>
      </w:r>
      <w:r w:rsidRPr="00782F96">
        <w:rPr>
          <w:rFonts w:ascii="Arial" w:hAnsi="Arial" w:cs="Arial"/>
          <w:sz w:val="24"/>
          <w:szCs w:val="24"/>
        </w:rPr>
        <w:tab/>
      </w:r>
      <w:r w:rsidRPr="00782F96">
        <w:rPr>
          <w:rFonts w:ascii="Arial" w:hAnsi="Arial" w:cs="Arial"/>
          <w:sz w:val="24"/>
          <w:szCs w:val="24"/>
        </w:rPr>
        <w:tab/>
      </w:r>
      <w:r w:rsidRPr="00782F96">
        <w:rPr>
          <w:rFonts w:ascii="Arial" w:hAnsi="Arial" w:cs="Arial"/>
          <w:sz w:val="20"/>
          <w:szCs w:val="20"/>
        </w:rPr>
        <w:t>(GS Sachunterricht 2008)</w:t>
      </w:r>
    </w:p>
    <w:p w:rsidR="00782F96" w:rsidRPr="00782F96" w:rsidRDefault="00782F96" w:rsidP="00782F96">
      <w:pPr>
        <w:spacing w:after="0" w:line="240" w:lineRule="auto"/>
        <w:ind w:left="720"/>
        <w:rPr>
          <w:rFonts w:ascii="Arial" w:hAnsi="Arial" w:cs="Arial"/>
          <w:sz w:val="24"/>
          <w:szCs w:val="24"/>
        </w:rPr>
      </w:pPr>
    </w:p>
    <w:p w:rsidR="00782F96" w:rsidRPr="00782F96" w:rsidRDefault="00782F96" w:rsidP="00782F96">
      <w:pPr>
        <w:spacing w:after="0" w:line="240" w:lineRule="auto"/>
        <w:ind w:left="720"/>
        <w:rPr>
          <w:rFonts w:ascii="Arial" w:hAnsi="Arial" w:cs="Arial"/>
          <w:sz w:val="24"/>
          <w:szCs w:val="24"/>
        </w:rPr>
      </w:pPr>
    </w:p>
    <w:p w:rsidR="00782F96" w:rsidRPr="00782F96" w:rsidRDefault="00782F96" w:rsidP="00782F96">
      <w:pPr>
        <w:spacing w:after="0" w:line="240" w:lineRule="auto"/>
        <w:ind w:left="720"/>
        <w:rPr>
          <w:rFonts w:ascii="Arial" w:hAnsi="Arial" w:cs="Arial"/>
          <w:sz w:val="24"/>
          <w:szCs w:val="24"/>
        </w:rPr>
      </w:pPr>
    </w:p>
    <w:p w:rsidR="00782F96" w:rsidRPr="00782F96" w:rsidRDefault="00782F96" w:rsidP="00782F96">
      <w:pPr>
        <w:spacing w:after="0"/>
        <w:rPr>
          <w:rFonts w:ascii="Arial" w:hAnsi="Arial" w:cs="Arial"/>
          <w:b/>
          <w:sz w:val="24"/>
          <w:szCs w:val="24"/>
        </w:rPr>
      </w:pPr>
      <w:r w:rsidRPr="00782F96">
        <w:rPr>
          <w:rFonts w:ascii="Arial" w:hAnsi="Arial" w:cs="Arial"/>
          <w:b/>
          <w:sz w:val="24"/>
          <w:szCs w:val="24"/>
        </w:rPr>
        <w:t>Literatur:</w:t>
      </w:r>
    </w:p>
    <w:p w:rsidR="00782F96" w:rsidRPr="00782F96" w:rsidRDefault="00782F96" w:rsidP="00782F96">
      <w:pPr>
        <w:spacing w:after="0"/>
        <w:rPr>
          <w:rFonts w:ascii="Arial" w:hAnsi="Arial" w:cs="Arial"/>
          <w:b/>
          <w:sz w:val="24"/>
          <w:szCs w:val="24"/>
        </w:rPr>
      </w:pPr>
      <w:proofErr w:type="spellStart"/>
      <w:r w:rsidRPr="00782F96">
        <w:rPr>
          <w:rFonts w:ascii="Arial" w:hAnsi="Arial" w:cs="Arial"/>
          <w:sz w:val="24"/>
          <w:szCs w:val="24"/>
        </w:rPr>
        <w:t>Brade</w:t>
      </w:r>
      <w:proofErr w:type="spellEnd"/>
      <w:r w:rsidRPr="00782F96">
        <w:rPr>
          <w:rFonts w:ascii="Arial" w:hAnsi="Arial" w:cs="Arial"/>
          <w:sz w:val="24"/>
          <w:szCs w:val="24"/>
        </w:rPr>
        <w:t>, J &amp;</w:t>
      </w:r>
      <w:proofErr w:type="spellStart"/>
      <w:r w:rsidRPr="00782F96">
        <w:rPr>
          <w:rFonts w:ascii="Arial" w:hAnsi="Arial" w:cs="Arial"/>
          <w:sz w:val="24"/>
          <w:szCs w:val="24"/>
        </w:rPr>
        <w:t>Dühlmeier</w:t>
      </w:r>
      <w:proofErr w:type="spellEnd"/>
      <w:r w:rsidRPr="00782F96">
        <w:rPr>
          <w:rFonts w:ascii="Arial" w:hAnsi="Arial" w:cs="Arial"/>
          <w:sz w:val="24"/>
          <w:szCs w:val="24"/>
        </w:rPr>
        <w:t>, B.: Lehren und Lernen in außerschulischen Lernorten. In: Handbuch Didaktik des Sachunterrichts, 2015</w:t>
      </w:r>
    </w:p>
    <w:p w:rsidR="00782F96" w:rsidRPr="00782F96" w:rsidRDefault="00782F96" w:rsidP="00782F96">
      <w:pPr>
        <w:pStyle w:val="Listenabsatz"/>
        <w:spacing w:after="0" w:line="240" w:lineRule="auto"/>
        <w:ind w:left="0"/>
        <w:rPr>
          <w:rFonts w:ascii="Arial" w:hAnsi="Arial" w:cs="Arial"/>
          <w:sz w:val="24"/>
          <w:szCs w:val="24"/>
        </w:rPr>
      </w:pPr>
      <w:proofErr w:type="spellStart"/>
      <w:r w:rsidRPr="00782F96">
        <w:rPr>
          <w:rFonts w:ascii="Arial" w:hAnsi="Arial" w:cs="Arial"/>
          <w:sz w:val="24"/>
          <w:szCs w:val="24"/>
        </w:rPr>
        <w:t>Dühlmeier</w:t>
      </w:r>
      <w:proofErr w:type="spellEnd"/>
      <w:r w:rsidRPr="00782F96">
        <w:rPr>
          <w:rFonts w:ascii="Arial" w:hAnsi="Arial" w:cs="Arial"/>
          <w:sz w:val="24"/>
          <w:szCs w:val="24"/>
        </w:rPr>
        <w:t>, B.: Außerschulische Lernorte in der Grundschule, 2008</w:t>
      </w:r>
    </w:p>
    <w:p w:rsidR="00782F96" w:rsidRPr="00782F96" w:rsidRDefault="00782F96" w:rsidP="00782F96">
      <w:pPr>
        <w:pStyle w:val="Listenabsatz"/>
        <w:spacing w:after="0" w:line="240" w:lineRule="auto"/>
        <w:ind w:left="0"/>
        <w:rPr>
          <w:rFonts w:ascii="Arial" w:hAnsi="Arial" w:cs="Arial"/>
          <w:sz w:val="24"/>
          <w:szCs w:val="24"/>
        </w:rPr>
      </w:pPr>
      <w:proofErr w:type="spellStart"/>
      <w:r w:rsidRPr="00782F96">
        <w:rPr>
          <w:rFonts w:ascii="Arial" w:hAnsi="Arial" w:cs="Arial"/>
          <w:sz w:val="24"/>
          <w:szCs w:val="24"/>
        </w:rPr>
        <w:t>Dühlmeier</w:t>
      </w:r>
      <w:proofErr w:type="spellEnd"/>
      <w:r w:rsidRPr="00782F96">
        <w:rPr>
          <w:rFonts w:ascii="Arial" w:hAnsi="Arial" w:cs="Arial"/>
          <w:sz w:val="24"/>
          <w:szCs w:val="24"/>
        </w:rPr>
        <w:t>, B.: Mehr außerschulische Lernorte in der Grundschule, 2014</w:t>
      </w:r>
    </w:p>
    <w:p w:rsidR="00782F96" w:rsidRPr="00782F96" w:rsidRDefault="00782F96" w:rsidP="00782F96">
      <w:pPr>
        <w:pStyle w:val="Listenabsatz"/>
        <w:spacing w:after="0" w:line="240" w:lineRule="auto"/>
        <w:ind w:left="0"/>
        <w:rPr>
          <w:rFonts w:ascii="Arial" w:hAnsi="Arial" w:cs="Arial"/>
          <w:sz w:val="24"/>
          <w:szCs w:val="24"/>
        </w:rPr>
      </w:pPr>
      <w:r w:rsidRPr="00782F96">
        <w:rPr>
          <w:rFonts w:ascii="Arial" w:hAnsi="Arial" w:cs="Arial"/>
          <w:sz w:val="24"/>
          <w:szCs w:val="24"/>
        </w:rPr>
        <w:t>Burk, K. &amp; Claussen, C.: Lernorte außerhalb des Klassenzimmers I, 1998</w:t>
      </w:r>
    </w:p>
    <w:p w:rsidR="00782F96" w:rsidRPr="00782F96" w:rsidRDefault="00782F96" w:rsidP="00782F96">
      <w:pPr>
        <w:pStyle w:val="Listenabsatz"/>
        <w:spacing w:after="0" w:line="240" w:lineRule="auto"/>
        <w:ind w:left="0"/>
        <w:rPr>
          <w:rFonts w:ascii="Arial" w:hAnsi="Arial" w:cs="Arial"/>
          <w:sz w:val="24"/>
          <w:szCs w:val="24"/>
        </w:rPr>
      </w:pPr>
      <w:r w:rsidRPr="00782F96">
        <w:rPr>
          <w:rFonts w:ascii="Arial" w:hAnsi="Arial" w:cs="Arial"/>
          <w:sz w:val="24"/>
          <w:szCs w:val="24"/>
        </w:rPr>
        <w:t>Jürgens, E.: Öffnung von Unterricht durch schüleraktives Lehren und Lernen, 2008</w:t>
      </w:r>
    </w:p>
    <w:p w:rsidR="00782F96" w:rsidRPr="00782F96" w:rsidRDefault="00782F96" w:rsidP="00782F96">
      <w:pPr>
        <w:pStyle w:val="Listenabsatz"/>
        <w:spacing w:after="0" w:line="240" w:lineRule="auto"/>
        <w:ind w:left="0"/>
        <w:rPr>
          <w:rFonts w:ascii="Arial" w:hAnsi="Arial" w:cs="Arial"/>
          <w:sz w:val="24"/>
          <w:szCs w:val="24"/>
        </w:rPr>
      </w:pPr>
      <w:proofErr w:type="spellStart"/>
      <w:r w:rsidRPr="00782F96">
        <w:rPr>
          <w:rFonts w:ascii="Arial" w:hAnsi="Arial" w:cs="Arial"/>
          <w:sz w:val="24"/>
          <w:szCs w:val="24"/>
        </w:rPr>
        <w:t>Somrei</w:t>
      </w:r>
      <w:proofErr w:type="spellEnd"/>
      <w:r w:rsidRPr="00782F96">
        <w:rPr>
          <w:rFonts w:ascii="Arial" w:hAnsi="Arial" w:cs="Arial"/>
          <w:sz w:val="24"/>
          <w:szCs w:val="24"/>
        </w:rPr>
        <w:t>, E.: Unterricht nicht nur in der Grundschule – Zum Stellenwert und den Möglichkeiten außerschulischer Lernorte, 1997</w:t>
      </w:r>
    </w:p>
    <w:p w:rsidR="00782F96" w:rsidRPr="00782F96" w:rsidRDefault="00782F96" w:rsidP="00782F96">
      <w:pPr>
        <w:spacing w:after="0" w:line="240" w:lineRule="auto"/>
        <w:rPr>
          <w:rFonts w:ascii="Arial" w:eastAsia="Times New Roman" w:hAnsi="Arial" w:cs="Arial"/>
          <w:sz w:val="24"/>
          <w:szCs w:val="24"/>
          <w:lang w:eastAsia="de-DE"/>
        </w:rPr>
      </w:pPr>
      <w:r w:rsidRPr="00782F96">
        <w:rPr>
          <w:rFonts w:ascii="Arial" w:eastAsia="Times New Roman" w:hAnsi="Arial" w:cs="Arial"/>
          <w:sz w:val="24"/>
          <w:szCs w:val="24"/>
          <w:lang w:eastAsia="de-DE"/>
        </w:rPr>
        <w:t>Grundschule Sachunterricht: Außerschulische Lernorte, Heft 39/2008</w:t>
      </w:r>
    </w:p>
    <w:p w:rsidR="00782F96" w:rsidRPr="00782F96" w:rsidRDefault="00782F96" w:rsidP="00782F96">
      <w:pPr>
        <w:pStyle w:val="Listenabsatz"/>
        <w:spacing w:after="0" w:line="240" w:lineRule="auto"/>
        <w:ind w:left="0"/>
        <w:rPr>
          <w:rFonts w:ascii="Arial" w:hAnsi="Arial" w:cs="Arial"/>
          <w:sz w:val="24"/>
          <w:szCs w:val="24"/>
        </w:rPr>
      </w:pPr>
      <w:r w:rsidRPr="00782F96">
        <w:rPr>
          <w:rFonts w:ascii="Arial" w:hAnsi="Arial" w:cs="Arial"/>
          <w:sz w:val="24"/>
          <w:szCs w:val="24"/>
        </w:rPr>
        <w:t>Grundschule Westermann-Verlag: Raus aus dem Klassenzimmer! Heft 4/2016</w:t>
      </w:r>
    </w:p>
    <w:p w:rsidR="00361938" w:rsidRPr="00782F96" w:rsidRDefault="00361938">
      <w:pPr>
        <w:rPr>
          <w:rFonts w:ascii="Arial" w:hAnsi="Arial" w:cs="Arial"/>
        </w:rPr>
      </w:pPr>
    </w:p>
    <w:sectPr w:rsidR="00361938" w:rsidRPr="00782F96" w:rsidSect="00FE5F5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D3234"/>
    <w:multiLevelType w:val="hybridMultilevel"/>
    <w:tmpl w:val="956498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D918E2"/>
    <w:multiLevelType w:val="hybridMultilevel"/>
    <w:tmpl w:val="9B429C1C"/>
    <w:lvl w:ilvl="0" w:tplc="DA2C45E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854431"/>
    <w:multiLevelType w:val="hybridMultilevel"/>
    <w:tmpl w:val="A496A4F8"/>
    <w:lvl w:ilvl="0" w:tplc="95C65752">
      <w:numFmt w:val="bullet"/>
      <w:lvlText w:val="-"/>
      <w:lvlJc w:val="left"/>
      <w:pPr>
        <w:tabs>
          <w:tab w:val="num" w:pos="720"/>
        </w:tabs>
        <w:ind w:left="720" w:hanging="360"/>
      </w:pPr>
      <w:rPr>
        <w:rFonts w:ascii="Comic Sans MS" w:eastAsia="Times New Roman" w:hAnsi="Comic Sans M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7C6A533E"/>
    <w:multiLevelType w:val="hybridMultilevel"/>
    <w:tmpl w:val="C1B612E6"/>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96"/>
    <w:rsid w:val="00361938"/>
    <w:rsid w:val="00782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2F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2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2F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2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5138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dc:creator>
  <cp:lastModifiedBy>Dagmar</cp:lastModifiedBy>
  <cp:revision>1</cp:revision>
  <dcterms:created xsi:type="dcterms:W3CDTF">2016-08-29T14:56:00Z</dcterms:created>
  <dcterms:modified xsi:type="dcterms:W3CDTF">2016-08-29T14:57:00Z</dcterms:modified>
</cp:coreProperties>
</file>